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FDF70" w14:textId="77777777" w:rsidR="003B2715" w:rsidRPr="007B716F" w:rsidRDefault="00C656E9" w:rsidP="003B2715">
      <w:pPr>
        <w:pStyle w:val="Header"/>
        <w:rPr>
          <w:rFonts w:ascii="Myriad Pro" w:hAnsi="Myriad Pro"/>
          <w:sz w:val="8"/>
          <w:szCs w:val="8"/>
          <w:lang w:val="en-US"/>
        </w:rPr>
      </w:pPr>
      <w:r>
        <w:rPr>
          <w:rFonts w:ascii="Myriad Pro" w:hAnsi="Myriad Pro"/>
          <w:noProof/>
          <w:sz w:val="8"/>
          <w:szCs w:val="8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4DC7E2" wp14:editId="40F9EBA3">
                <wp:simplePos x="0" y="0"/>
                <wp:positionH relativeFrom="column">
                  <wp:posOffset>4724400</wp:posOffset>
                </wp:positionH>
                <wp:positionV relativeFrom="paragraph">
                  <wp:posOffset>685800</wp:posOffset>
                </wp:positionV>
                <wp:extent cx="1447800" cy="18161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47800" cy="18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DC12FE0" w14:textId="77777777" w:rsidR="00FC1595" w:rsidRDefault="00FC1595" w:rsidP="003B2715">
                            <w:pPr>
                              <w:jc w:val="right"/>
                              <w:rPr>
                                <w:rFonts w:ascii="Myriad Pro" w:hAnsi="Myriad Pro" w:cs="Myriad Pro"/>
                                <w:b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83E57">
                              <w:rPr>
                                <w:rFonts w:ascii="Myriad Pro" w:hAnsi="Myriad Pro" w:cs="Myriad Pro"/>
                                <w:b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  <w:t>Nr.     / ZZ luna AAAA</w:t>
                            </w:r>
                          </w:p>
                          <w:p w14:paraId="6756663C" w14:textId="77777777" w:rsidR="00FC1595" w:rsidRPr="00483E57" w:rsidRDefault="00FC1595" w:rsidP="003B2715">
                            <w:pPr>
                              <w:ind w:firstLine="708"/>
                              <w:jc w:val="center"/>
                              <w:rPr>
                                <w:rFonts w:ascii="Myriad Pro" w:hAnsi="Myriad Pro" w:cs="Myriad Pro"/>
                                <w:b/>
                                <w:color w:val="808080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4DC7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2pt;margin-top:54pt;width:114pt;height:14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" filled="f" stroked="f">
                <v:path arrowok="t"/>
                <v:textbox inset="0,0,0,0">
                  <w:txbxContent>
                    <w:p w14:paraId="2DC12FE0" w14:textId="77777777" w:rsidR="00FC1595" w:rsidRDefault="00FC1595" w:rsidP="003B2715">
                      <w:pPr>
                        <w:jc w:val="right"/>
                        <w:rPr>
                          <w:rFonts w:ascii="Myriad Pro" w:hAnsi="Myriad Pro" w:cs="Myriad Pro"/>
                          <w:b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  <w:r w:rsidRPr="00483E57">
                        <w:rPr>
                          <w:rFonts w:ascii="Myriad Pro" w:hAnsi="Myriad Pro" w:cs="Myriad Pro"/>
                          <w:b/>
                          <w:color w:val="808080"/>
                          <w:sz w:val="20"/>
                          <w:szCs w:val="20"/>
                          <w:lang w:val="en-US"/>
                        </w:rPr>
                        <w:t>Nr.     / ZZ luna AAAA</w:t>
                      </w:r>
                    </w:p>
                    <w:p w14:paraId="6756663C" w14:textId="77777777" w:rsidR="00FC1595" w:rsidRPr="00483E57" w:rsidRDefault="00FC1595" w:rsidP="003B2715">
                      <w:pPr>
                        <w:ind w:firstLine="708"/>
                        <w:jc w:val="center"/>
                        <w:rPr>
                          <w:rFonts w:ascii="Myriad Pro" w:hAnsi="Myriad Pro" w:cs="Myriad Pro"/>
                          <w:b/>
                          <w:color w:val="808080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yriad Pro" w:hAnsi="Myriad Pro"/>
          <w:noProof/>
          <w:sz w:val="8"/>
          <w:szCs w:val="8"/>
        </w:rPr>
        <w:drawing>
          <wp:inline distT="0" distB="0" distL="0" distR="0" wp14:anchorId="4ED1B171" wp14:editId="5D912519">
            <wp:extent cx="6477000" cy="914400"/>
            <wp:effectExtent l="0" t="0" r="0" b="0"/>
            <wp:docPr id="3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BBEB4" w14:textId="77777777" w:rsidR="00435768" w:rsidRDefault="004364BF" w:rsidP="00E133F0">
      <w:pPr>
        <w:spacing w:before="140"/>
        <w:rPr>
          <w:rFonts w:ascii="Myriad Pro" w:hAnsi="Myriad Pro"/>
          <w:b/>
          <w:color w:val="808080"/>
          <w:lang w:val="it-IT"/>
        </w:rPr>
      </w:pPr>
      <w:r w:rsidRPr="00E630FD">
        <w:rPr>
          <w:rFonts w:ascii="Myriad Pro" w:hAnsi="Myriad Pro"/>
          <w:b/>
          <w:color w:val="808080"/>
          <w:lang w:val="it-IT"/>
        </w:rPr>
        <w:t>Domeniul: Preţuri de consum</w:t>
      </w:r>
      <w:r w:rsidR="00211952">
        <w:rPr>
          <w:rFonts w:ascii="Myriad Pro" w:hAnsi="Myriad Pro"/>
          <w:b/>
          <w:color w:val="808080"/>
          <w:lang w:val="it-IT"/>
        </w:rPr>
        <w:t xml:space="preserve"> - </w:t>
      </w:r>
      <w:r w:rsidR="00211952" w:rsidRPr="00E361C7">
        <w:rPr>
          <w:rFonts w:ascii="Myriad Pro" w:hAnsi="Myriad Pro"/>
          <w:b/>
          <w:color w:val="808080"/>
          <w:lang w:val="it-IT"/>
        </w:rPr>
        <w:t>(date provizorii)</w:t>
      </w:r>
    </w:p>
    <w:p w14:paraId="0FDFD257" w14:textId="77777777" w:rsidR="00435768" w:rsidRDefault="00435768" w:rsidP="004364BF">
      <w:pPr>
        <w:jc w:val="right"/>
        <w:rPr>
          <w:sz w:val="16"/>
          <w:szCs w:val="16"/>
          <w:lang w:val="it-IT"/>
        </w:rPr>
      </w:pPr>
    </w:p>
    <w:p w14:paraId="18950A02" w14:textId="77777777" w:rsidR="00435768" w:rsidRPr="001E0384" w:rsidRDefault="00435768" w:rsidP="004364BF">
      <w:pPr>
        <w:jc w:val="right"/>
        <w:rPr>
          <w:sz w:val="16"/>
          <w:szCs w:val="16"/>
          <w:lang w:val="it-IT"/>
        </w:rPr>
      </w:pPr>
    </w:p>
    <w:p w14:paraId="28AD9D42" w14:textId="77777777" w:rsidR="0021440C" w:rsidRDefault="0021440C" w:rsidP="00211952">
      <w:pPr>
        <w:jc w:val="center"/>
        <w:rPr>
          <w:rFonts w:ascii="Calibri" w:hAnsi="Calibri" w:cs="Calibri"/>
          <w:b/>
          <w:caps/>
          <w:color w:val="4F81BD"/>
          <w:sz w:val="36"/>
          <w:szCs w:val="36"/>
        </w:rPr>
      </w:pPr>
      <w:r>
        <w:rPr>
          <w:rFonts w:ascii="Calibri" w:hAnsi="Calibri" w:cs="Calibri"/>
          <w:b/>
          <w:caps/>
          <w:color w:val="4F81BD"/>
          <w:sz w:val="32"/>
          <w:szCs w:val="32"/>
        </w:rPr>
        <w:t>PUTEREA DE CUMPĂRare în românia</w:t>
      </w:r>
      <w:r>
        <w:rPr>
          <w:rFonts w:ascii="Calibri" w:hAnsi="Calibri" w:cs="Calibri"/>
          <w:b/>
          <w:caps/>
          <w:color w:val="4F81BD"/>
          <w:sz w:val="36"/>
          <w:szCs w:val="36"/>
        </w:rPr>
        <w:t xml:space="preserve"> </w:t>
      </w:r>
    </w:p>
    <w:p w14:paraId="2776BF1A" w14:textId="77777777" w:rsidR="007B69FF" w:rsidRDefault="0021440C" w:rsidP="00211952">
      <w:pPr>
        <w:jc w:val="center"/>
        <w:rPr>
          <w:rFonts w:ascii="Calibri" w:hAnsi="Calibri" w:cs="Calibri"/>
          <w:b/>
          <w:caps/>
          <w:color w:val="4F81BD"/>
          <w:sz w:val="32"/>
          <w:szCs w:val="32"/>
        </w:rPr>
      </w:pPr>
      <w:r w:rsidRPr="0021440C">
        <w:rPr>
          <w:rFonts w:ascii="Calibri" w:hAnsi="Calibri" w:cs="Calibri"/>
          <w:b/>
          <w:caps/>
          <w:color w:val="4F81BD"/>
          <w:sz w:val="32"/>
          <w:szCs w:val="32"/>
        </w:rPr>
        <w:t>comparativ cu statele membre</w:t>
      </w:r>
      <w:r w:rsidR="00E53B4C">
        <w:rPr>
          <w:rFonts w:ascii="Calibri" w:hAnsi="Calibri" w:cs="Calibri"/>
          <w:b/>
          <w:caps/>
          <w:color w:val="4F81BD"/>
          <w:sz w:val="32"/>
          <w:szCs w:val="32"/>
        </w:rPr>
        <w:t xml:space="preserve"> ale Uniunii Europene</w:t>
      </w:r>
      <w:r w:rsidRPr="0021440C">
        <w:rPr>
          <w:rFonts w:ascii="Calibri" w:hAnsi="Calibri" w:cs="Calibri"/>
          <w:b/>
          <w:caps/>
          <w:color w:val="4F81BD"/>
          <w:sz w:val="32"/>
          <w:szCs w:val="32"/>
        </w:rPr>
        <w:t>,</w:t>
      </w:r>
      <w:r w:rsidR="00211952" w:rsidRPr="0021440C">
        <w:rPr>
          <w:rFonts w:ascii="Calibri" w:hAnsi="Calibri" w:cs="Calibri"/>
          <w:b/>
          <w:caps/>
          <w:color w:val="4F81BD"/>
          <w:sz w:val="32"/>
          <w:szCs w:val="32"/>
        </w:rPr>
        <w:t xml:space="preserve"> </w:t>
      </w:r>
      <w:r w:rsidR="00211952" w:rsidRPr="00211952">
        <w:rPr>
          <w:rFonts w:ascii="Calibri" w:hAnsi="Calibri" w:cs="Calibri"/>
          <w:b/>
          <w:caps/>
          <w:color w:val="4F81BD"/>
          <w:sz w:val="32"/>
          <w:szCs w:val="32"/>
        </w:rPr>
        <w:t>în anul 2021</w:t>
      </w:r>
      <w:r w:rsidR="002B3229" w:rsidRPr="00211952">
        <w:rPr>
          <w:rFonts w:ascii="Calibri" w:hAnsi="Calibri" w:cs="Calibri"/>
          <w:b/>
          <w:caps/>
          <w:color w:val="4F81BD"/>
          <w:sz w:val="32"/>
          <w:szCs w:val="32"/>
        </w:rPr>
        <w:t xml:space="preserve"> </w:t>
      </w:r>
    </w:p>
    <w:p w14:paraId="118DFEEC" w14:textId="77777777" w:rsidR="00BE62C1" w:rsidRDefault="00BE62C1" w:rsidP="00211952">
      <w:pPr>
        <w:jc w:val="center"/>
        <w:rPr>
          <w:rFonts w:ascii="Calibri" w:hAnsi="Calibri" w:cs="Calibri"/>
          <w:b/>
          <w:caps/>
          <w:color w:val="4F81BD"/>
          <w:sz w:val="32"/>
          <w:szCs w:val="32"/>
        </w:rPr>
      </w:pPr>
    </w:p>
    <w:p w14:paraId="0F79593D" w14:textId="77777777" w:rsidR="00BE62C1" w:rsidRPr="00BE62C1" w:rsidRDefault="00BE62C1" w:rsidP="00BE62C1">
      <w:pPr>
        <w:numPr>
          <w:ilvl w:val="0"/>
          <w:numId w:val="20"/>
        </w:numPr>
        <w:rPr>
          <w:rFonts w:ascii="Calibri" w:hAnsi="Calibri" w:cs="Calibri"/>
          <w:b/>
          <w:caps/>
          <w:color w:val="4F81BD"/>
          <w:sz w:val="36"/>
          <w:szCs w:val="36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România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este cel mai ieftin </w:t>
      </w:r>
      <w:r w:rsidR="0021440C">
        <w:rPr>
          <w:rFonts w:ascii="Calibri" w:hAnsi="Calibri" w:cs="Calibri"/>
          <w:bCs/>
          <w:color w:val="000000"/>
          <w:sz w:val="20"/>
          <w:szCs w:val="20"/>
          <w:lang w:val="en-US"/>
        </w:rPr>
        <w:t>S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tat </w:t>
      </w:r>
      <w:r w:rsidR="0021440C">
        <w:rPr>
          <w:rFonts w:ascii="Calibri" w:hAnsi="Calibri" w:cs="Calibri"/>
          <w:bCs/>
          <w:color w:val="000000"/>
          <w:sz w:val="20"/>
          <w:szCs w:val="20"/>
          <w:lang w:val="en-US"/>
        </w:rPr>
        <w:t>M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embru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al </w:t>
      </w:r>
      <w:r w:rsidR="00D674D3">
        <w:rPr>
          <w:rFonts w:ascii="Calibri" w:hAnsi="Calibri" w:cs="Calibri"/>
          <w:bCs/>
          <w:color w:val="000000"/>
          <w:sz w:val="20"/>
          <w:szCs w:val="20"/>
          <w:lang w:val="en-US"/>
        </w:rPr>
        <w:t>Uniunii Europene (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>UE</w:t>
      </w:r>
      <w:r w:rsidR="00D674D3">
        <w:rPr>
          <w:rFonts w:ascii="Calibri" w:hAnsi="Calibri" w:cs="Calibri"/>
          <w:bCs/>
          <w:color w:val="000000"/>
          <w:sz w:val="20"/>
          <w:szCs w:val="20"/>
          <w:lang w:val="en-US"/>
        </w:rPr>
        <w:t>)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D674D3">
        <w:rPr>
          <w:rFonts w:ascii="Calibri" w:hAnsi="Calibri" w:cs="Calibri"/>
          <w:bCs/>
          <w:color w:val="000000"/>
          <w:sz w:val="20"/>
          <w:szCs w:val="20"/>
          <w:lang w:val="en-US"/>
        </w:rPr>
        <w:t>pentru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grupa “Alimente și băuturi nealcoolice</w:t>
      </w:r>
      <w:r w:rsidR="0021440C">
        <w:rPr>
          <w:rFonts w:ascii="Calibri" w:hAnsi="Calibri" w:cs="Calibri"/>
          <w:bCs/>
          <w:color w:val="000000"/>
          <w:sz w:val="20"/>
          <w:szCs w:val="20"/>
          <w:lang w:val="en-US"/>
        </w:rPr>
        <w:t>”</w:t>
      </w:r>
    </w:p>
    <w:p w14:paraId="3D6120CC" w14:textId="77777777" w:rsidR="00BE62C1" w:rsidRPr="00BE62C1" w:rsidRDefault="00BE62C1" w:rsidP="00BE62C1">
      <w:pPr>
        <w:numPr>
          <w:ilvl w:val="0"/>
          <w:numId w:val="20"/>
        </w:numPr>
        <w:rPr>
          <w:rFonts w:ascii="Calibri" w:hAnsi="Calibri" w:cs="Calibri"/>
          <w:b/>
          <w:caps/>
          <w:color w:val="4F81BD"/>
          <w:sz w:val="36"/>
          <w:szCs w:val="36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România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are cel mai scăzut nivel al prețurilor 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î</w:t>
      </w:r>
      <w:r w:rsidR="00691444">
        <w:rPr>
          <w:rFonts w:ascii="Calibri" w:hAnsi="Calibri" w:cs="Calibri"/>
          <w:bCs/>
          <w:color w:val="000000"/>
          <w:sz w:val="20"/>
          <w:szCs w:val="20"/>
          <w:lang w:val="en-US"/>
        </w:rPr>
        <w:t>n UE</w:t>
      </w:r>
      <w:r w:rsidR="00691444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pentru grupa “</w:t>
      </w:r>
      <w:r w:rsidR="00691444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Recreere 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și cultură</w:t>
      </w:r>
      <w:r w:rsidR="00691444">
        <w:rPr>
          <w:rFonts w:ascii="Calibri" w:hAnsi="Calibri" w:cs="Calibri"/>
          <w:bCs/>
          <w:color w:val="000000"/>
          <w:sz w:val="20"/>
          <w:szCs w:val="20"/>
          <w:lang w:val="en-US"/>
        </w:rPr>
        <w:t>”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, alături de Ungaria</w:t>
      </w:r>
      <w:r w:rsidR="00FA4E33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FA4E33">
        <w:rPr>
          <w:rFonts w:ascii="Calibri" w:hAnsi="Calibri" w:cs="Calibri"/>
          <w:bCs/>
          <w:sz w:val="20"/>
          <w:szCs w:val="20"/>
        </w:rPr>
        <w:t xml:space="preserve">precum și pentru grupa </w:t>
      </w:r>
      <w:r w:rsidR="00FA4E33">
        <w:rPr>
          <w:rFonts w:ascii="Calibri" w:hAnsi="Calibri" w:cs="Calibri"/>
          <w:bCs/>
          <w:sz w:val="20"/>
          <w:szCs w:val="20"/>
          <w:lang w:val="en-US"/>
        </w:rPr>
        <w:t>“Transport”, alături de Bulgaria</w:t>
      </w:r>
    </w:p>
    <w:p w14:paraId="52340F52" w14:textId="77777777" w:rsidR="00BE62C1" w:rsidRPr="00BE62C1" w:rsidRDefault="00BE62C1" w:rsidP="00BE62C1">
      <w:pPr>
        <w:numPr>
          <w:ilvl w:val="0"/>
          <w:numId w:val="20"/>
        </w:num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F12AB5">
        <w:rPr>
          <w:rFonts w:ascii="Calibri" w:hAnsi="Calibri" w:cs="Calibri"/>
          <w:b/>
          <w:bCs/>
          <w:sz w:val="20"/>
          <w:szCs w:val="20"/>
        </w:rPr>
        <w:t>România</w:t>
      </w:r>
      <w:r w:rsidRPr="00F12AB5">
        <w:rPr>
          <w:rFonts w:ascii="Calibri" w:hAnsi="Calibri" w:cs="Calibri"/>
          <w:bCs/>
          <w:sz w:val="20"/>
          <w:szCs w:val="20"/>
        </w:rPr>
        <w:t xml:space="preserve">, </w:t>
      </w:r>
      <w:r w:rsidR="00D674D3">
        <w:rPr>
          <w:rFonts w:ascii="Calibri" w:hAnsi="Calibri" w:cs="Calibri"/>
          <w:bCs/>
          <w:sz w:val="20"/>
          <w:szCs w:val="20"/>
        </w:rPr>
        <w:t>î</w:t>
      </w:r>
      <w:r w:rsidRPr="00F12AB5">
        <w:rPr>
          <w:rFonts w:ascii="Calibri" w:hAnsi="Calibri" w:cs="Calibri"/>
          <w:bCs/>
          <w:sz w:val="20"/>
          <w:szCs w:val="20"/>
        </w:rPr>
        <w:t>mpreună cu alte cinci State Membre (</w:t>
      </w:r>
      <w:r w:rsidRPr="00F12AB5">
        <w:rPr>
          <w:rFonts w:ascii="Calibri" w:hAnsi="Calibri" w:cs="Calibri"/>
          <w:b/>
          <w:bCs/>
          <w:sz w:val="20"/>
          <w:szCs w:val="20"/>
        </w:rPr>
        <w:t>Polonia, Ungaria, Portugalia, Letonia și Croația</w:t>
      </w:r>
      <w:r w:rsidRPr="00F12AB5">
        <w:rPr>
          <w:rFonts w:ascii="Calibri" w:hAnsi="Calibri" w:cs="Calibri"/>
          <w:bCs/>
          <w:sz w:val="20"/>
          <w:szCs w:val="20"/>
        </w:rPr>
        <w:t>)</w:t>
      </w:r>
      <w:r w:rsidR="00F00F80">
        <w:rPr>
          <w:rFonts w:ascii="Calibri" w:hAnsi="Calibri" w:cs="Calibri"/>
          <w:bCs/>
          <w:sz w:val="20"/>
          <w:szCs w:val="20"/>
        </w:rPr>
        <w:t>,</w:t>
      </w:r>
      <w:r w:rsidRPr="00F12AB5">
        <w:rPr>
          <w:rFonts w:ascii="Calibri" w:hAnsi="Calibri" w:cs="Calibri"/>
          <w:bCs/>
          <w:sz w:val="20"/>
          <w:szCs w:val="20"/>
        </w:rPr>
        <w:t xml:space="preserve"> înregistrează valori  ale </w:t>
      </w:r>
      <w:r w:rsidR="00D674D3">
        <w:rPr>
          <w:rFonts w:ascii="Calibri" w:hAnsi="Calibri" w:cs="Calibri"/>
          <w:bCs/>
          <w:sz w:val="20"/>
          <w:szCs w:val="20"/>
        </w:rPr>
        <w:t>Produsului Intern Brut (</w:t>
      </w:r>
      <w:r w:rsidRPr="00F12AB5">
        <w:rPr>
          <w:rFonts w:ascii="Calibri" w:hAnsi="Calibri" w:cs="Calibri"/>
          <w:bCs/>
          <w:sz w:val="20"/>
          <w:szCs w:val="20"/>
        </w:rPr>
        <w:t>PIB</w:t>
      </w:r>
      <w:r w:rsidR="00D674D3">
        <w:rPr>
          <w:rFonts w:ascii="Calibri" w:hAnsi="Calibri" w:cs="Calibri"/>
          <w:bCs/>
          <w:sz w:val="20"/>
          <w:szCs w:val="20"/>
        </w:rPr>
        <w:t xml:space="preserve">) </w:t>
      </w:r>
      <w:r w:rsidRPr="00F12AB5">
        <w:rPr>
          <w:rFonts w:ascii="Calibri" w:hAnsi="Calibri" w:cs="Calibri"/>
          <w:bCs/>
          <w:sz w:val="20"/>
          <w:szCs w:val="20"/>
        </w:rPr>
        <w:t xml:space="preserve"> pe locuitor, </w:t>
      </w:r>
      <w:r w:rsidR="00D674D3">
        <w:rPr>
          <w:rFonts w:ascii="Calibri" w:hAnsi="Calibri" w:cs="Calibri"/>
          <w:bCs/>
          <w:sz w:val="20"/>
          <w:szCs w:val="20"/>
        </w:rPr>
        <w:t xml:space="preserve">cu </w:t>
      </w:r>
      <w:r w:rsidRPr="00F12AB5">
        <w:rPr>
          <w:rFonts w:ascii="Calibri" w:hAnsi="Calibri" w:cs="Calibri"/>
          <w:bCs/>
          <w:sz w:val="20"/>
          <w:szCs w:val="20"/>
        </w:rPr>
        <w:t xml:space="preserve">mai </w:t>
      </w:r>
      <w:r w:rsidR="00D674D3">
        <w:rPr>
          <w:rFonts w:ascii="Calibri" w:hAnsi="Calibri" w:cs="Calibri"/>
          <w:bCs/>
          <w:sz w:val="20"/>
          <w:szCs w:val="20"/>
        </w:rPr>
        <w:t>puțin</w:t>
      </w:r>
      <w:r w:rsidRPr="00F12AB5">
        <w:rPr>
          <w:rFonts w:ascii="Calibri" w:hAnsi="Calibri" w:cs="Calibri"/>
          <w:bCs/>
          <w:sz w:val="20"/>
          <w:szCs w:val="20"/>
        </w:rPr>
        <w:t xml:space="preserve"> de 30% față de media Uniunii Europene</w:t>
      </w:r>
    </w:p>
    <w:p w14:paraId="323C9521" w14:textId="77777777" w:rsidR="00BE62C1" w:rsidRDefault="00BE62C1" w:rsidP="00BE62C1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</w:p>
    <w:p w14:paraId="5931F2BF" w14:textId="77777777" w:rsidR="00BE62C1" w:rsidRPr="00BE62C1" w:rsidRDefault="00BE62C1" w:rsidP="00BE62C1">
      <w:pPr>
        <w:jc w:val="both"/>
        <w:rPr>
          <w:rFonts w:ascii="Calibri" w:hAnsi="Calibri" w:cs="Calibri"/>
          <w:bCs/>
          <w:sz w:val="20"/>
          <w:szCs w:val="20"/>
          <w:lang w:val="en-US"/>
        </w:rPr>
      </w:pPr>
    </w:p>
    <w:p w14:paraId="6C3A6878" w14:textId="77777777" w:rsidR="002B3229" w:rsidRPr="006112D5" w:rsidRDefault="002B3229" w:rsidP="002B3229">
      <w:pPr>
        <w:numPr>
          <w:ilvl w:val="0"/>
          <w:numId w:val="6"/>
        </w:numPr>
        <w:rPr>
          <w:rFonts w:ascii="Calibri" w:hAnsi="Calibri"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Indicii nivelului prețurilor</w:t>
      </w:r>
      <w:r w:rsidR="009318FB">
        <w:rPr>
          <w:rFonts w:ascii="Calibri" w:hAnsi="Calibri" w:cs="Calibri"/>
          <w:b/>
          <w:sz w:val="28"/>
          <w:szCs w:val="28"/>
        </w:rPr>
        <w:t xml:space="preserve"> </w:t>
      </w:r>
      <w:r w:rsidR="00863FBC">
        <w:rPr>
          <w:rFonts w:ascii="Calibri" w:hAnsi="Calibri" w:cs="Calibri"/>
          <w:b/>
          <w:sz w:val="28"/>
          <w:szCs w:val="28"/>
        </w:rPr>
        <w:t>pentru</w:t>
      </w:r>
      <w:r w:rsidR="007153D2">
        <w:rPr>
          <w:rFonts w:ascii="Calibri" w:hAnsi="Calibri" w:cs="Calibri"/>
          <w:b/>
          <w:sz w:val="28"/>
          <w:szCs w:val="28"/>
        </w:rPr>
        <w:t xml:space="preserve"> </w:t>
      </w:r>
      <w:r w:rsidR="00DC0BC4">
        <w:rPr>
          <w:rFonts w:ascii="Calibri" w:hAnsi="Calibri" w:cs="Calibri"/>
          <w:b/>
          <w:sz w:val="28"/>
          <w:szCs w:val="28"/>
        </w:rPr>
        <w:t xml:space="preserve">consumul final al </w:t>
      </w:r>
      <w:r w:rsidR="00693831">
        <w:rPr>
          <w:rFonts w:ascii="Calibri" w:hAnsi="Calibri" w:cs="Calibri"/>
          <w:b/>
          <w:sz w:val="28"/>
          <w:szCs w:val="28"/>
        </w:rPr>
        <w:t xml:space="preserve"> gospodăriilor </w:t>
      </w:r>
      <w:r w:rsidR="00DC0BC4">
        <w:rPr>
          <w:rFonts w:ascii="Calibri" w:hAnsi="Calibri" w:cs="Calibri"/>
          <w:b/>
          <w:sz w:val="28"/>
          <w:szCs w:val="28"/>
        </w:rPr>
        <w:t>populației</w:t>
      </w:r>
      <w:r w:rsidR="005C375A">
        <w:rPr>
          <w:rFonts w:ascii="Calibri" w:hAnsi="Calibri" w:cs="Calibri"/>
          <w:b/>
          <w:sz w:val="28"/>
          <w:szCs w:val="28"/>
        </w:rPr>
        <w:t xml:space="preserve"> </w:t>
      </w:r>
      <w:r w:rsidR="004C2F7D">
        <w:rPr>
          <w:rFonts w:ascii="Calibri" w:hAnsi="Calibri" w:cs="Calibri"/>
          <w:b/>
          <w:sz w:val="28"/>
          <w:szCs w:val="28"/>
        </w:rPr>
        <w:t>î</w:t>
      </w:r>
      <w:r w:rsidR="005C375A">
        <w:rPr>
          <w:rFonts w:ascii="Calibri" w:hAnsi="Calibri" w:cs="Calibri"/>
          <w:b/>
          <w:sz w:val="28"/>
          <w:szCs w:val="28"/>
        </w:rPr>
        <w:t>n compara</w:t>
      </w:r>
      <w:r w:rsidR="004C2F7D">
        <w:rPr>
          <w:rFonts w:ascii="Calibri" w:hAnsi="Calibri" w:cs="Calibri"/>
          <w:b/>
          <w:sz w:val="28"/>
          <w:szCs w:val="28"/>
        </w:rPr>
        <w:t>ț</w:t>
      </w:r>
      <w:r w:rsidR="005C375A">
        <w:rPr>
          <w:rFonts w:ascii="Calibri" w:hAnsi="Calibri" w:cs="Calibri"/>
          <w:b/>
          <w:sz w:val="28"/>
          <w:szCs w:val="28"/>
        </w:rPr>
        <w:t>ie cu media Uniunii Europene</w:t>
      </w:r>
      <w:r w:rsidR="007153D2">
        <w:rPr>
          <w:rFonts w:ascii="Calibri" w:hAnsi="Calibri" w:cs="Calibri"/>
          <w:b/>
          <w:sz w:val="28"/>
          <w:szCs w:val="28"/>
        </w:rPr>
        <w:t xml:space="preserve"> </w:t>
      </w:r>
    </w:p>
    <w:p w14:paraId="17C6B0B1" w14:textId="77777777" w:rsidR="006112D5" w:rsidRPr="006112D5" w:rsidRDefault="006112D5" w:rsidP="006112D5">
      <w:pPr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3C753BC3" w14:textId="77777777" w:rsidR="006112D5" w:rsidRDefault="006112D5" w:rsidP="006112D5">
      <w:pPr>
        <w:numPr>
          <w:ilvl w:val="0"/>
          <w:numId w:val="23"/>
        </w:numPr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Cel mai scăzut nivel al prețurilor pentru bunurile de consum și serviciile din componența </w:t>
      </w:r>
      <w:r w:rsidRPr="00017BA9">
        <w:rPr>
          <w:rFonts w:ascii="Calibri" w:hAnsi="Calibri" w:cs="Calibri"/>
          <w:bCs/>
          <w:sz w:val="20"/>
          <w:szCs w:val="20"/>
        </w:rPr>
        <w:t xml:space="preserve">consumului final </w:t>
      </w:r>
      <w:r>
        <w:rPr>
          <w:rFonts w:ascii="Calibri" w:hAnsi="Calibri" w:cs="Calibri"/>
          <w:bCs/>
          <w:sz w:val="20"/>
          <w:szCs w:val="20"/>
        </w:rPr>
        <w:t xml:space="preserve">                  </w:t>
      </w:r>
      <w:r w:rsidRPr="00017BA9">
        <w:rPr>
          <w:rFonts w:ascii="Calibri" w:hAnsi="Calibri" w:cs="Calibri"/>
          <w:bCs/>
          <w:sz w:val="20"/>
          <w:szCs w:val="20"/>
        </w:rPr>
        <w:t>al gospodăriilor populației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, în cadrul Statelor Membre, a fost înregistrat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>,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în anul 2021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>,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în</w:t>
      </w:r>
      <w:r w:rsidRPr="00017BA9" w:rsidDel="0017063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România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și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Bulgaria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, cu 44% mai mic decât media UE, urmate de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Polonia 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(40% sub media UE).</w:t>
      </w:r>
    </w:p>
    <w:p w14:paraId="788269EC" w14:textId="77777777" w:rsidR="00D674D3" w:rsidRDefault="00B44432" w:rsidP="00D82068">
      <w:pPr>
        <w:numPr>
          <w:ilvl w:val="0"/>
          <w:numId w:val="14"/>
        </w:numPr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Î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n anul 2021, în rândul Statelor Membre ale Uniunii Europene, cel mai ridicat nivel al prețurilor </w:t>
      </w:r>
      <w:r w:rsidR="00170639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pentru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consumul</w:t>
      </w:r>
    </w:p>
    <w:p w14:paraId="3E268AE1" w14:textId="77777777" w:rsidR="00D674D3" w:rsidRDefault="00D674D3" w:rsidP="00D82068">
      <w:pPr>
        <w:ind w:left="450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    </w:t>
      </w:r>
      <w:r w:rsidR="00D82068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FE3EB7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final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al </w:t>
      </w:r>
      <w:r w:rsidR="00B44432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gospodăriilor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populației s-a înregistrat în </w:t>
      </w:r>
      <w:r w:rsidR="002E71CB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Danemarca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3E3264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și </w:t>
      </w:r>
      <w:r w:rsidR="003E3264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Irlanda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(</w:t>
      </w:r>
      <w:r w:rsidR="003E3264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ambele </w:t>
      </w:r>
      <w:r w:rsidR="00625078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având</w:t>
      </w:r>
      <w:r w:rsidR="003E3264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9318F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cu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40% peste media UE), 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  </w:t>
      </w:r>
    </w:p>
    <w:p w14:paraId="67AAB539" w14:textId="77777777" w:rsidR="00CF1902" w:rsidRPr="00017BA9" w:rsidRDefault="00D674D3" w:rsidP="00D82068">
      <w:pPr>
        <w:ind w:left="450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   </w:t>
      </w:r>
      <w:r w:rsidR="00D82068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urmat</w:t>
      </w:r>
      <w:r w:rsidR="003E3264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e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de </w:t>
      </w:r>
      <w:r w:rsidR="002E71CB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Luxemburg 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(32% peste media UE), </w:t>
      </w:r>
      <w:r w:rsidR="002E71CB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Suedia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(28% peste media UE) </w:t>
      </w:r>
      <w:r w:rsidR="00BD6C8D">
        <w:rPr>
          <w:rFonts w:ascii="Calibri" w:hAnsi="Calibri" w:cs="Calibri"/>
          <w:bCs/>
          <w:color w:val="000000"/>
          <w:sz w:val="20"/>
          <w:szCs w:val="20"/>
          <w:lang w:val="en-US"/>
        </w:rPr>
        <w:t>ș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i </w:t>
      </w:r>
      <w:r w:rsidR="002E71CB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Finlanda</w:t>
      </w:r>
      <w:r w:rsidR="002E71CB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(26% peste media UE). </w:t>
      </w:r>
    </w:p>
    <w:p w14:paraId="1AF74398" w14:textId="77777777" w:rsidR="00BE62C1" w:rsidRDefault="00BE62C1" w:rsidP="00D674D3">
      <w:pPr>
        <w:ind w:left="810"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</w:p>
    <w:p w14:paraId="1AE8E9AD" w14:textId="77777777" w:rsidR="00863FBC" w:rsidRDefault="00BE62C1" w:rsidP="00ED49D8">
      <w:pPr>
        <w:ind w:left="360" w:firstLine="34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G</w:t>
      </w:r>
      <w:r w:rsidR="005C375A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rafic 1:</w:t>
      </w:r>
      <w:r w:rsidR="00863FBC"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 xml:space="preserve"> </w:t>
      </w:r>
      <w:r w:rsidR="00863FBC" w:rsidRPr="00017BA9">
        <w:rPr>
          <w:rFonts w:ascii="Calibri" w:hAnsi="Calibri" w:cs="Calibri"/>
          <w:b/>
          <w:sz w:val="20"/>
          <w:szCs w:val="20"/>
        </w:rPr>
        <w:t xml:space="preserve">Indicii nivelului prețurilor pentru </w:t>
      </w:r>
      <w:r w:rsidR="00863FBC" w:rsidRPr="00017BA9">
        <w:rPr>
          <w:rFonts w:ascii="Calibri" w:hAnsi="Calibri" w:cs="Calibri"/>
          <w:b/>
          <w:bCs/>
          <w:sz w:val="20"/>
          <w:szCs w:val="20"/>
        </w:rPr>
        <w:t>consumul final al gospodăriilor populației</w:t>
      </w:r>
      <w:r w:rsidR="00ED49D8" w:rsidRPr="00017BA9">
        <w:rPr>
          <w:rFonts w:ascii="Calibri" w:hAnsi="Calibri" w:cs="Calibri"/>
          <w:b/>
          <w:bCs/>
          <w:sz w:val="20"/>
          <w:szCs w:val="20"/>
        </w:rPr>
        <w:t>, în anul 2021 (%)</w:t>
      </w:r>
    </w:p>
    <w:p w14:paraId="745941F3" w14:textId="77777777" w:rsidR="00691444" w:rsidRPr="00017BA9" w:rsidRDefault="00691444" w:rsidP="00ED49D8">
      <w:pPr>
        <w:ind w:left="360" w:firstLine="348"/>
        <w:rPr>
          <w:rFonts w:ascii="Calibri" w:hAnsi="Calibri" w:cs="Calibri"/>
          <w:b/>
          <w:color w:val="000000"/>
          <w:sz w:val="20"/>
          <w:szCs w:val="20"/>
        </w:rPr>
      </w:pPr>
    </w:p>
    <w:p w14:paraId="1F43F8A5" w14:textId="77777777" w:rsidR="002B3229" w:rsidRDefault="00FE3EB7" w:rsidP="001259CE">
      <w:pPr>
        <w:jc w:val="both"/>
        <w:rPr>
          <w:rFonts w:ascii="Calibri" w:hAnsi="Calibri" w:cs="Calibri"/>
          <w:bCs/>
          <w:color w:val="000000"/>
          <w:sz w:val="22"/>
          <w:szCs w:val="22"/>
          <w:lang w:val="en-US"/>
        </w:rPr>
      </w:pPr>
      <w:r>
        <w:t xml:space="preserve">                           </w:t>
      </w:r>
      <w:r w:rsidR="00C656E9" w:rsidRPr="00B10F80">
        <w:rPr>
          <w:noProof/>
        </w:rPr>
        <w:drawing>
          <wp:inline distT="0" distB="0" distL="0" distR="0" wp14:anchorId="24492340" wp14:editId="24DA08B2">
            <wp:extent cx="5080000" cy="4000500"/>
            <wp:effectExtent l="0" t="0" r="0" b="0"/>
            <wp:docPr id="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6A50A" w14:textId="77777777" w:rsidR="002B3229" w:rsidRDefault="002B3229" w:rsidP="001259CE">
      <w:pPr>
        <w:jc w:val="both"/>
        <w:rPr>
          <w:rFonts w:ascii="Calibri" w:hAnsi="Calibri" w:cs="Calibri"/>
          <w:bCs/>
          <w:color w:val="000000"/>
          <w:sz w:val="22"/>
          <w:szCs w:val="22"/>
          <w:lang w:val="en-US"/>
        </w:rPr>
      </w:pPr>
    </w:p>
    <w:p w14:paraId="4D1634F8" w14:textId="77777777" w:rsidR="002B3229" w:rsidRDefault="002B3229" w:rsidP="001259CE">
      <w:pPr>
        <w:jc w:val="both"/>
        <w:rPr>
          <w:rFonts w:ascii="Calibri" w:hAnsi="Calibri" w:cs="Calibri"/>
          <w:bCs/>
          <w:color w:val="000000"/>
          <w:sz w:val="22"/>
          <w:szCs w:val="22"/>
          <w:lang w:val="en-US"/>
        </w:rPr>
      </w:pPr>
    </w:p>
    <w:p w14:paraId="67FADABE" w14:textId="77777777" w:rsidR="008B0E96" w:rsidRDefault="00DC0BC4" w:rsidP="00DC0BC4">
      <w:pPr>
        <w:numPr>
          <w:ilvl w:val="0"/>
          <w:numId w:val="6"/>
        </w:num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Indicii nivelului prețurilor pentru</w:t>
      </w:r>
      <w:r w:rsidR="008B0E96">
        <w:rPr>
          <w:rFonts w:ascii="Calibri" w:hAnsi="Calibri" w:cs="Calibri"/>
          <w:b/>
          <w:sz w:val="28"/>
          <w:szCs w:val="28"/>
        </w:rPr>
        <w:t xml:space="preserve"> principalele grupe</w:t>
      </w:r>
      <w:r w:rsidR="00E361C7">
        <w:rPr>
          <w:rFonts w:ascii="Calibri" w:hAnsi="Calibri" w:cs="Calibri"/>
          <w:b/>
          <w:sz w:val="28"/>
          <w:szCs w:val="28"/>
        </w:rPr>
        <w:t xml:space="preserve"> de bunuri și servicii</w:t>
      </w:r>
    </w:p>
    <w:p w14:paraId="1DA6A443" w14:textId="77777777" w:rsidR="00ED595D" w:rsidRDefault="00ED595D" w:rsidP="00ED595D">
      <w:pPr>
        <w:ind w:left="720"/>
        <w:rPr>
          <w:rFonts w:ascii="Calibri" w:hAnsi="Calibri" w:cs="Calibri"/>
          <w:b/>
          <w:sz w:val="28"/>
          <w:szCs w:val="28"/>
        </w:rPr>
      </w:pPr>
    </w:p>
    <w:p w14:paraId="1CF84DC6" w14:textId="77777777" w:rsidR="006112D5" w:rsidRPr="00017BA9" w:rsidRDefault="006112D5" w:rsidP="009701F7">
      <w:pPr>
        <w:numPr>
          <w:ilvl w:val="0"/>
          <w:numId w:val="15"/>
        </w:num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În rândul Statelor Membre,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România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este cel mai ieftin stat membru </w:t>
      </w:r>
      <w:r w:rsidR="00D82068">
        <w:rPr>
          <w:rFonts w:ascii="Calibri" w:hAnsi="Calibri" w:cs="Calibri"/>
          <w:bCs/>
          <w:color w:val="000000"/>
          <w:sz w:val="20"/>
          <w:szCs w:val="20"/>
          <w:lang w:val="en-US"/>
        </w:rPr>
        <w:t>pentru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grupa “Alimente și băuturi nealcoolice” (69%).</w:t>
      </w:r>
    </w:p>
    <w:p w14:paraId="7CCC5794" w14:textId="77777777" w:rsidR="008B0E96" w:rsidRPr="00017BA9" w:rsidRDefault="008B0E96" w:rsidP="009701F7">
      <w:pPr>
        <w:numPr>
          <w:ilvl w:val="0"/>
          <w:numId w:val="15"/>
        </w:num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Bulgaria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înregistrează cel mai scăzut nivel al prețurilor pentru grupele 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“</w:t>
      </w:r>
      <w:r w:rsidR="006537ED" w:rsidRPr="00017BA9">
        <w:rPr>
          <w:rFonts w:ascii="Calibri" w:hAnsi="Calibri" w:cs="Calibri"/>
          <w:bCs/>
          <w:color w:val="000000"/>
          <w:sz w:val="20"/>
          <w:szCs w:val="20"/>
        </w:rPr>
        <w:t>B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ăuturi alcoolice</w:t>
      </w:r>
      <w:r w:rsidR="00170639" w:rsidRPr="00017BA9">
        <w:rPr>
          <w:rFonts w:ascii="Calibri" w:hAnsi="Calibri" w:cs="Calibri"/>
          <w:bCs/>
          <w:color w:val="000000"/>
          <w:sz w:val="20"/>
          <w:szCs w:val="20"/>
        </w:rPr>
        <w:t xml:space="preserve"> și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tutun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</w:rPr>
        <w:t>”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(64</w:t>
      </w:r>
      <w:r w:rsidR="00536544" w:rsidRPr="00017BA9">
        <w:rPr>
          <w:rFonts w:ascii="Calibri" w:hAnsi="Calibri" w:cs="Calibri"/>
          <w:bCs/>
          <w:color w:val="000000"/>
          <w:sz w:val="20"/>
          <w:szCs w:val="20"/>
        </w:rPr>
        <w:t>%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) 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</w:rPr>
        <w:t>„</w:t>
      </w:r>
      <w:r w:rsidR="006537ED" w:rsidRPr="00017BA9">
        <w:rPr>
          <w:rFonts w:ascii="Calibri" w:hAnsi="Calibri" w:cs="Calibri"/>
          <w:bCs/>
          <w:color w:val="000000"/>
          <w:sz w:val="20"/>
          <w:szCs w:val="20"/>
        </w:rPr>
        <w:t>Î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mbrăcăminte și încăl</w:t>
      </w:r>
      <w:r w:rsidR="00234507" w:rsidRPr="00017BA9">
        <w:rPr>
          <w:rFonts w:ascii="Calibri" w:hAnsi="Calibri" w:cs="Calibri"/>
          <w:bCs/>
          <w:color w:val="000000"/>
          <w:sz w:val="20"/>
          <w:szCs w:val="20"/>
        </w:rPr>
        <w:t>ț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ămin</w:t>
      </w:r>
      <w:r w:rsidR="00170639" w:rsidRPr="00017BA9">
        <w:rPr>
          <w:rFonts w:ascii="Calibri" w:hAnsi="Calibri" w:cs="Calibri"/>
          <w:bCs/>
          <w:color w:val="000000"/>
          <w:sz w:val="20"/>
          <w:szCs w:val="20"/>
        </w:rPr>
        <w:t>t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e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</w:rPr>
        <w:t>”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(76</w:t>
      </w:r>
      <w:r w:rsidR="00536544" w:rsidRPr="00017BA9">
        <w:rPr>
          <w:rFonts w:ascii="Calibri" w:hAnsi="Calibri" w:cs="Calibri"/>
          <w:bCs/>
          <w:color w:val="000000"/>
          <w:sz w:val="20"/>
          <w:szCs w:val="20"/>
        </w:rPr>
        <w:t>%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)</w:t>
      </w:r>
      <w:r w:rsidR="00DB07D6" w:rsidRPr="00017BA9">
        <w:rPr>
          <w:rFonts w:ascii="Calibri" w:hAnsi="Calibri" w:cs="Calibri"/>
          <w:bCs/>
          <w:color w:val="000000"/>
          <w:sz w:val="20"/>
          <w:szCs w:val="20"/>
        </w:rPr>
        <w:t>,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40541C" w:rsidRPr="00017BA9">
        <w:rPr>
          <w:rFonts w:ascii="Calibri" w:hAnsi="Calibri" w:cs="Calibri"/>
          <w:bCs/>
          <w:color w:val="000000"/>
          <w:sz w:val="20"/>
          <w:szCs w:val="20"/>
        </w:rPr>
        <w:t>respectiv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</w:rPr>
        <w:t>„</w:t>
      </w:r>
      <w:r w:rsidR="006537ED" w:rsidRPr="00017BA9">
        <w:rPr>
          <w:rFonts w:ascii="Calibri" w:hAnsi="Calibri" w:cs="Calibri"/>
          <w:bCs/>
          <w:color w:val="000000"/>
          <w:sz w:val="20"/>
          <w:szCs w:val="20"/>
        </w:rPr>
        <w:t>Î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ntreținerea locuinței, apă, electricitate, gaz și alți combustibili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</w:rPr>
        <w:t xml:space="preserve">” 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(3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6</w:t>
      </w:r>
      <w:r w:rsidR="00536544" w:rsidRPr="00017BA9">
        <w:rPr>
          <w:rFonts w:ascii="Calibri" w:hAnsi="Calibri" w:cs="Calibri"/>
          <w:bCs/>
          <w:color w:val="000000"/>
          <w:sz w:val="20"/>
          <w:szCs w:val="20"/>
        </w:rPr>
        <w:t>%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). </w:t>
      </w:r>
    </w:p>
    <w:p w14:paraId="4648C0E0" w14:textId="77777777" w:rsidR="00FA403B" w:rsidRDefault="006112D5" w:rsidP="00FC1595">
      <w:pPr>
        <w:numPr>
          <w:ilvl w:val="0"/>
          <w:numId w:val="15"/>
        </w:numPr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</w:rPr>
        <w:t>Danemarca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are cel mai ridicat nivel al prețurilor pentru produsele cuprinse în grupa „Îmbrăcăminte și încăl</w:t>
      </w:r>
      <w:r w:rsidR="00D82068">
        <w:rPr>
          <w:rFonts w:ascii="Calibri" w:hAnsi="Calibri" w:cs="Calibri"/>
          <w:bCs/>
          <w:color w:val="000000"/>
          <w:sz w:val="20"/>
          <w:szCs w:val="20"/>
        </w:rPr>
        <w:t>ț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ăminte” (13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4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%) iar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</w:rPr>
        <w:t>Irlanda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 este cea mai scumpă țară din UE la produsele din grupele „Băuturi alcoolice și tutun” (20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5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%) </w:t>
      </w:r>
      <w:r>
        <w:rPr>
          <w:rFonts w:ascii="Calibri" w:hAnsi="Calibri" w:cs="Calibri"/>
          <w:bCs/>
          <w:color w:val="000000"/>
          <w:sz w:val="20"/>
          <w:szCs w:val="20"/>
        </w:rPr>
        <w:t>ș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i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>respectiv „Întreținerea locuinței, apă, electricitate, gaz și alți combustibili” (18</w:t>
      </w:r>
      <w:r w:rsidR="00691444">
        <w:rPr>
          <w:rFonts w:ascii="Calibri" w:hAnsi="Calibri" w:cs="Calibri"/>
          <w:bCs/>
          <w:color w:val="000000"/>
          <w:sz w:val="20"/>
          <w:szCs w:val="20"/>
        </w:rPr>
        <w:t>9</w:t>
      </w:r>
      <w:r w:rsidRPr="00017BA9">
        <w:rPr>
          <w:rFonts w:ascii="Calibri" w:hAnsi="Calibri" w:cs="Calibri"/>
          <w:bCs/>
          <w:color w:val="000000"/>
          <w:sz w:val="20"/>
          <w:szCs w:val="20"/>
        </w:rPr>
        <w:t xml:space="preserve">%). </w:t>
      </w:r>
    </w:p>
    <w:p w14:paraId="701C31CE" w14:textId="77777777" w:rsidR="00691444" w:rsidRPr="00FC1595" w:rsidRDefault="00691444" w:rsidP="00691444">
      <w:pPr>
        <w:ind w:left="720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4AFA347" w14:textId="77777777" w:rsidR="00F1126C" w:rsidRPr="00017BA9" w:rsidRDefault="00FC1595" w:rsidP="00064CB3">
      <w:pPr>
        <w:ind w:firstLine="36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 </w:t>
      </w:r>
      <w:r w:rsidR="00F1126C"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>Tabel</w:t>
      </w:r>
      <w:r w:rsidR="00064CB3">
        <w:rPr>
          <w:rFonts w:ascii="Calibri" w:hAnsi="Calibri" w:cs="Calibri"/>
          <w:b/>
          <w:color w:val="000000"/>
          <w:sz w:val="20"/>
          <w:szCs w:val="20"/>
          <w:lang w:val="en-US"/>
        </w:rPr>
        <w:t>ul</w:t>
      </w:r>
      <w:r w:rsidR="00F1126C"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1:</w:t>
      </w:r>
      <w:r w:rsidR="00F1126C" w:rsidRPr="00017BA9">
        <w:rPr>
          <w:b/>
          <w:sz w:val="20"/>
          <w:szCs w:val="20"/>
        </w:rPr>
        <w:t xml:space="preserve"> </w:t>
      </w:r>
      <w:r w:rsidR="00F1126C"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Indicii nivelului preţurilor </w:t>
      </w:r>
      <w:r w:rsidR="00F1126C" w:rsidRPr="00017BA9">
        <w:rPr>
          <w:rFonts w:ascii="Calibri" w:hAnsi="Calibri" w:cs="Calibri"/>
          <w:b/>
          <w:sz w:val="20"/>
          <w:szCs w:val="20"/>
        </w:rPr>
        <w:t>pentru principalele grupe de bunuri și servicii</w:t>
      </w:r>
      <w:r w:rsidR="00536544" w:rsidRPr="00017BA9">
        <w:rPr>
          <w:rFonts w:ascii="Calibri" w:hAnsi="Calibri" w:cs="Calibri"/>
          <w:b/>
          <w:sz w:val="20"/>
          <w:szCs w:val="20"/>
        </w:rPr>
        <w:t xml:space="preserve"> f</w:t>
      </w:r>
      <w:r w:rsidR="00064CB3">
        <w:rPr>
          <w:rFonts w:ascii="Calibri" w:hAnsi="Calibri" w:cs="Calibri"/>
          <w:b/>
          <w:sz w:val="20"/>
          <w:szCs w:val="20"/>
        </w:rPr>
        <w:t>ață</w:t>
      </w:r>
      <w:r w:rsidR="00536544" w:rsidRPr="00017BA9">
        <w:rPr>
          <w:rFonts w:ascii="Calibri" w:hAnsi="Calibri" w:cs="Calibri"/>
          <w:b/>
          <w:sz w:val="20"/>
          <w:szCs w:val="20"/>
        </w:rPr>
        <w:t xml:space="preserve"> de media UE</w:t>
      </w:r>
      <w:r w:rsidR="00F1126C" w:rsidRPr="00017BA9">
        <w:rPr>
          <w:rFonts w:ascii="Calibri" w:hAnsi="Calibri" w:cs="Calibri"/>
          <w:b/>
          <w:sz w:val="20"/>
          <w:szCs w:val="20"/>
        </w:rPr>
        <w:t xml:space="preserve">, </w:t>
      </w:r>
      <w:r w:rsidR="00234507" w:rsidRPr="00017BA9">
        <w:rPr>
          <w:rFonts w:ascii="Calibri" w:hAnsi="Calibri" w:cs="Calibri"/>
          <w:b/>
          <w:sz w:val="20"/>
          <w:szCs w:val="20"/>
        </w:rPr>
        <w:t>î</w:t>
      </w:r>
      <w:r w:rsidR="00F1126C" w:rsidRPr="00017BA9">
        <w:rPr>
          <w:rFonts w:ascii="Calibri" w:hAnsi="Calibri" w:cs="Calibri"/>
          <w:b/>
          <w:sz w:val="20"/>
          <w:szCs w:val="20"/>
        </w:rPr>
        <w:t xml:space="preserve">n anul 2021 </w:t>
      </w:r>
      <w:r w:rsidR="00F1126C"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</w:t>
      </w:r>
    </w:p>
    <w:p w14:paraId="61177C95" w14:textId="77777777" w:rsidR="00FC1595" w:rsidRDefault="00FC1595" w:rsidP="00FC1595">
      <w:pPr>
        <w:ind w:left="778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601309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        </w:t>
      </w:r>
      <w:r w:rsidR="00601309">
        <w:rPr>
          <w:rFonts w:ascii="Calibri" w:hAnsi="Calibri" w:cs="Calibri"/>
          <w:sz w:val="20"/>
          <w:szCs w:val="20"/>
        </w:rPr>
        <w:t xml:space="preserve"> </w:t>
      </w:r>
      <w:r w:rsidR="00D82068">
        <w:rPr>
          <w:rFonts w:ascii="Calibri" w:hAnsi="Calibri" w:cs="Calibri"/>
          <w:sz w:val="20"/>
          <w:szCs w:val="20"/>
        </w:rPr>
        <w:t xml:space="preserve">      </w:t>
      </w:r>
      <w:r w:rsidR="00601309">
        <w:rPr>
          <w:rFonts w:ascii="Calibri" w:hAnsi="Calibri" w:cs="Calibri"/>
          <w:sz w:val="20"/>
          <w:szCs w:val="20"/>
        </w:rPr>
        <w:t xml:space="preserve"> </w:t>
      </w:r>
      <w:r w:rsidR="00601309" w:rsidRPr="00017BA9">
        <w:rPr>
          <w:rFonts w:ascii="Calibri" w:hAnsi="Calibri" w:cs="Calibri"/>
          <w:sz w:val="20"/>
          <w:szCs w:val="20"/>
        </w:rPr>
        <w:t>-</w:t>
      </w:r>
      <w:r w:rsidR="00601309">
        <w:rPr>
          <w:rFonts w:ascii="Calibri" w:hAnsi="Calibri" w:cs="Calibri"/>
          <w:sz w:val="20"/>
          <w:szCs w:val="20"/>
        </w:rPr>
        <w:t xml:space="preserve"> </w:t>
      </w:r>
      <w:r w:rsidR="00601309" w:rsidRPr="00017BA9">
        <w:rPr>
          <w:rFonts w:ascii="Calibri" w:hAnsi="Calibri" w:cs="Calibri"/>
          <w:sz w:val="20"/>
          <w:szCs w:val="20"/>
        </w:rPr>
        <w:t>procente</w:t>
      </w:r>
      <w:r w:rsidR="00601309">
        <w:rPr>
          <w:rFonts w:ascii="Calibri" w:hAnsi="Calibri" w:cs="Calibri"/>
          <w:sz w:val="20"/>
          <w:szCs w:val="20"/>
        </w:rPr>
        <w:t xml:space="preserve"> </w:t>
      </w:r>
      <w:r w:rsidR="00601309" w:rsidRPr="00017BA9">
        <w:rPr>
          <w:rFonts w:ascii="Calibri" w:hAnsi="Calibri" w:cs="Calibri"/>
          <w:sz w:val="20"/>
          <w:szCs w:val="20"/>
        </w:rPr>
        <w:t>-</w:t>
      </w:r>
    </w:p>
    <w:tbl>
      <w:tblPr>
        <w:tblpPr w:leftFromText="180" w:rightFromText="180" w:vertAnchor="text" w:horzAnchor="margin" w:tblpX="468" w:tblpY="49"/>
        <w:tblW w:w="9784" w:type="dxa"/>
        <w:tblLook w:val="04A0" w:firstRow="1" w:lastRow="0" w:firstColumn="1" w:lastColumn="0" w:noHBand="0" w:noVBand="1"/>
      </w:tblPr>
      <w:tblGrid>
        <w:gridCol w:w="1822"/>
        <w:gridCol w:w="1487"/>
        <w:gridCol w:w="1200"/>
        <w:gridCol w:w="1788"/>
        <w:gridCol w:w="1436"/>
        <w:gridCol w:w="2051"/>
      </w:tblGrid>
      <w:tr w:rsidR="00FC1595" w:rsidRPr="00910F51" w14:paraId="12D2BA37" w14:textId="77777777" w:rsidTr="00691444">
        <w:trPr>
          <w:trHeight w:val="751"/>
        </w:trPr>
        <w:tc>
          <w:tcPr>
            <w:tcW w:w="1822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5D135D4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eastAsia="en-US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Țara</w:t>
            </w:r>
          </w:p>
        </w:tc>
        <w:tc>
          <w:tcPr>
            <w:tcW w:w="1487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4AED93D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Consumul final al gospodăriilor populației</w:t>
            </w:r>
          </w:p>
        </w:tc>
        <w:tc>
          <w:tcPr>
            <w:tcW w:w="120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174DFB1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Alimente și băuturi                nealcoolice</w:t>
            </w:r>
          </w:p>
        </w:tc>
        <w:tc>
          <w:tcPr>
            <w:tcW w:w="1788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25A6ACF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Băuturi alcoolice și tutun </w:t>
            </w:r>
          </w:p>
        </w:tc>
        <w:tc>
          <w:tcPr>
            <w:tcW w:w="143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0645A8F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Îmbrăcăminte și încălțăminte</w:t>
            </w:r>
          </w:p>
        </w:tc>
        <w:tc>
          <w:tcPr>
            <w:tcW w:w="2051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396FD88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Întreținerea locuinței, apă, electricitate, gaz și alți combustibili</w:t>
            </w:r>
          </w:p>
        </w:tc>
      </w:tr>
      <w:tr w:rsidR="00FC1595" w:rsidRPr="00910F51" w14:paraId="65BB246C" w14:textId="77777777" w:rsidTr="00691444">
        <w:trPr>
          <w:trHeight w:val="19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393E9D88" w14:textId="77777777" w:rsidR="00FC1595" w:rsidRPr="00910F51" w:rsidRDefault="00FC1595" w:rsidP="00FC15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Uniunea Europeană (UE 27)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322E442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33FA16B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1C453B7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270678A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3E4E87C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100</w:t>
            </w:r>
          </w:p>
        </w:tc>
      </w:tr>
      <w:tr w:rsidR="00FC1595" w:rsidRPr="00910F51" w14:paraId="08F519C3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771223E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Elveția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A3B8AA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942F23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166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5442F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399BCA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BE7DC2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  <w:tr w:rsidR="00FC1595" w:rsidRPr="00910F51" w14:paraId="27EF089A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EA08CF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Islanda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660C52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978BF8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858DE7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45B19B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5F6CBA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151</w:t>
            </w:r>
          </w:p>
        </w:tc>
      </w:tr>
      <w:tr w:rsidR="00FC1595" w:rsidRPr="00910F51" w14:paraId="0EC55FD5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829D45D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Norvegia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7C4B42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03FF0C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149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047CA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233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72FBAD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D2064B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</w:tr>
      <w:tr w:rsidR="00FC1595" w:rsidRPr="00910F51" w14:paraId="672D759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4FA38A2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Danemarca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E5B78E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63A8F9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FA33A8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408CFA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113945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168</w:t>
            </w:r>
          </w:p>
        </w:tc>
      </w:tr>
      <w:tr w:rsidR="00FC1595" w:rsidRPr="00910F51" w14:paraId="169AC45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604E1FF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Irlanda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45EC52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2BE815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17509C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205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205C87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2E8C35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189</w:t>
            </w:r>
          </w:p>
        </w:tc>
      </w:tr>
      <w:tr w:rsidR="00FC1595" w:rsidRPr="00910F51" w14:paraId="61B3ACFC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A6AE804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Luxemburg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253B3F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2B4A9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7D9707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BBCDF3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7CB6A2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167</w:t>
            </w:r>
          </w:p>
        </w:tc>
      </w:tr>
      <w:tr w:rsidR="00FC1595" w:rsidRPr="00910F51" w14:paraId="706DD823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5002B72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Suedia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28F7D7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5CD424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E73936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2EA9D7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DA7261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125</w:t>
            </w:r>
          </w:p>
        </w:tc>
      </w:tr>
      <w:tr w:rsidR="00FC1595" w:rsidRPr="00910F51" w14:paraId="699E1C3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10999FF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Finlanda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65990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CACE07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F2BE1C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173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182C55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0D8D63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136</w:t>
            </w:r>
          </w:p>
        </w:tc>
      </w:tr>
      <w:tr w:rsidR="00FC1595" w:rsidRPr="00910F51" w14:paraId="3D6BB445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1AD96CD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Olanda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B7F21C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73F609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569CC3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6CC0C6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D04D4F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135</w:t>
            </w:r>
          </w:p>
        </w:tc>
      </w:tr>
      <w:tr w:rsidR="00FC1595" w:rsidRPr="00910F51" w14:paraId="0594F04F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7EF841F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Belgia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AAC76E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55B178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2A236B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419C57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BB8A4B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123</w:t>
            </w:r>
          </w:p>
        </w:tc>
      </w:tr>
      <w:tr w:rsidR="00FC1595" w:rsidRPr="00910F51" w14:paraId="0E350D41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D3ADAA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Franța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CBA179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A28DF7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D11B4C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134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B50A98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0858B1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121</w:t>
            </w:r>
          </w:p>
        </w:tc>
      </w:tr>
      <w:tr w:rsidR="00FC1595" w:rsidRPr="00910F51" w14:paraId="70D7CE4F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44A36AE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Austria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E20704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D81119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B8BA81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7BD427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2ABB8A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113</w:t>
            </w:r>
          </w:p>
        </w:tc>
      </w:tr>
      <w:tr w:rsidR="00FC1595" w:rsidRPr="00910F51" w14:paraId="4A10ABA4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2129F44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Germania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F74C33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D71710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409791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A779B6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991D12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</w:tr>
      <w:tr w:rsidR="00FC1595" w:rsidRPr="00910F51" w14:paraId="6032B7B3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C958572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Italia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F2D629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B2B542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474EB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2A32BA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8CD89F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</w:tr>
      <w:tr w:rsidR="00FC1595" w:rsidRPr="00910F51" w14:paraId="38870DC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4BE283E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Spania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E1AA0A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E92D1A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18103F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D8161C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791341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</w:tr>
      <w:tr w:rsidR="00FC1595" w:rsidRPr="00910F51" w14:paraId="13EBCF9A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28351B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Cipru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18A0DE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844EAA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6EAF34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E844A0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417E65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</w:tr>
      <w:tr w:rsidR="00FC1595" w:rsidRPr="00910F51" w14:paraId="085B09C0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8880B6E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Slovacia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62B558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77DCCD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289DB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1382DB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33E4EA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</w:tr>
      <w:tr w:rsidR="00FC1595" w:rsidRPr="00910F51" w14:paraId="63162683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791B204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Portugalia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6714D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C966A8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182BCD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F94426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5C4344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81</w:t>
            </w:r>
          </w:p>
        </w:tc>
      </w:tr>
      <w:tr w:rsidR="00FC1595" w:rsidRPr="00910F51" w14:paraId="4E97395E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3D05B8F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Malta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B55735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3683C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117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E6A6BD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3B71AC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28BF73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59</w:t>
            </w:r>
          </w:p>
        </w:tc>
      </w:tr>
      <w:tr w:rsidR="00FC1595" w:rsidRPr="00910F51" w14:paraId="06AE206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A809CD3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Slovenia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30D14A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7DF42B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B0FF2E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DE5474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FEC48B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</w:tr>
      <w:tr w:rsidR="00FC1595" w:rsidRPr="00910F51" w14:paraId="15A1C7D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11D97F5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Grecia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75B86F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D55A05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8F46DE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428803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0CBCDC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68</w:t>
            </w:r>
          </w:p>
        </w:tc>
      </w:tr>
      <w:tr w:rsidR="00FC1595" w:rsidRPr="00910F51" w14:paraId="2176BDEF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A7C9C08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Estonia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97AD4B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83E78D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FADE70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85EAF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593C84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70</w:t>
            </w:r>
          </w:p>
        </w:tc>
      </w:tr>
      <w:tr w:rsidR="00FC1595" w:rsidRPr="00910F51" w14:paraId="5394641E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3613C82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Cehia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45B3A6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ADBEF2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271DF4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58F0D7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C047F4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75</w:t>
            </w:r>
          </w:p>
        </w:tc>
      </w:tr>
      <w:tr w:rsidR="00FC1595" w:rsidRPr="00910F51" w14:paraId="0EA15BD0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ED1C71C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Letonia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0D072C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7D14FE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3F44A6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DD755A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8FE4B7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</w:tr>
      <w:tr w:rsidR="00FC1595" w:rsidRPr="00910F51" w14:paraId="4030B2BD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F4BF6A7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Lituania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042587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C47662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A26B91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A9878A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103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65A45B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46</w:t>
            </w:r>
          </w:p>
        </w:tc>
      </w:tr>
      <w:tr w:rsidR="00FC1595" w:rsidRPr="00910F51" w14:paraId="1879D39E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745E291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Croația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F11895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ECF0FC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97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89CDCC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4CD5F9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5D99D7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43</w:t>
            </w:r>
          </w:p>
        </w:tc>
      </w:tr>
      <w:tr w:rsidR="00FC1595" w:rsidRPr="00910F51" w14:paraId="19AF0470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4B80687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Ungaria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2DF305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74FA9B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62EBF6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A7197E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2DC54D3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</w:tr>
      <w:tr w:rsidR="00FC1595" w:rsidRPr="00910F51" w14:paraId="64F9C97B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A49F1BC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Albania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1CBAA3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D4DCF8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D2050A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71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BC3F1D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88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72080C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42</w:t>
            </w:r>
          </w:p>
        </w:tc>
      </w:tr>
      <w:tr w:rsidR="00FC1595" w:rsidRPr="00910F51" w14:paraId="34DF167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DB35670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Muntenegru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407EFF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F8D921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529B75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C6BA01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93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27E91BE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34</w:t>
            </w:r>
          </w:p>
        </w:tc>
      </w:tr>
      <w:tr w:rsidR="00FC1595" w:rsidRPr="00910F51" w14:paraId="2181B89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D6DFF57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Serbia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FE98F36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E27E5F5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85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BADAB9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9C938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92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1D55DF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</w:tr>
      <w:tr w:rsidR="00FC1595" w:rsidRPr="00910F51" w14:paraId="56AA51E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8939B87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Polonia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1C24AA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5B5F25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01F6E2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0D22AA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9BC44D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39</w:t>
            </w:r>
          </w:p>
        </w:tc>
      </w:tr>
      <w:tr w:rsidR="00FC1595" w:rsidRPr="00910F51" w14:paraId="4B5AA45B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F153501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Bosnia și Herțegovina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B9F4DA4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972641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78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476CC8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66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C92234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95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5D601D8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27</w:t>
            </w:r>
          </w:p>
        </w:tc>
      </w:tr>
      <w:tr w:rsidR="00FC1595" w:rsidRPr="00910F51" w14:paraId="6E821493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F6013BE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Bulgaria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3E2545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CC9574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32727CC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02E9C7E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76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27367062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36</w:t>
            </w:r>
          </w:p>
        </w:tc>
      </w:tr>
      <w:tr w:rsidR="00FC1595" w:rsidRPr="00910F51" w14:paraId="3A84F26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0F5C355B" w14:textId="77777777" w:rsidR="00FC1595" w:rsidRPr="00910F51" w:rsidRDefault="00FC1595" w:rsidP="00FC1595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România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5F77918A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09173ECB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5BD0953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6BF8290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000000" w:fill="BFBFBF"/>
            <w:noWrap/>
            <w:vAlign w:val="bottom"/>
            <w:hideMark/>
          </w:tcPr>
          <w:p w14:paraId="2A4BD70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910F51">
              <w:rPr>
                <w:rFonts w:ascii="Calibri" w:hAnsi="Calibri" w:cs="Calibri"/>
                <w:b/>
                <w:bCs/>
                <w:sz w:val="18"/>
                <w:szCs w:val="18"/>
              </w:rPr>
              <w:t>44</w:t>
            </w:r>
          </w:p>
        </w:tc>
      </w:tr>
      <w:tr w:rsidR="00FC1595" w:rsidRPr="00910F51" w14:paraId="71076FE6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953F824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Macedonia de Nord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56342B0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C0229F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A109BE8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A39EF7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79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1BA3ABE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37</w:t>
            </w:r>
          </w:p>
        </w:tc>
      </w:tr>
      <w:tr w:rsidR="00FC1595" w:rsidRPr="00910F51" w14:paraId="5273F479" w14:textId="77777777" w:rsidTr="00691444">
        <w:trPr>
          <w:trHeight w:val="164"/>
        </w:trPr>
        <w:tc>
          <w:tcPr>
            <w:tcW w:w="1822" w:type="dxa"/>
            <w:tcBorders>
              <w:top w:val="nil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55CAB5D" w14:textId="77777777" w:rsidR="00FC1595" w:rsidRPr="00910F51" w:rsidRDefault="00FC1595" w:rsidP="00FC1595">
            <w:pPr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Turcia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F26DC57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DFA901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63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F637C6D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53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6A96579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45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BA6A0CF" w14:textId="77777777" w:rsidR="00FC1595" w:rsidRPr="00910F51" w:rsidRDefault="00FC1595" w:rsidP="00FC159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10F51"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</w:tr>
    </w:tbl>
    <w:p w14:paraId="4576A68A" w14:textId="77777777" w:rsidR="00691444" w:rsidRPr="00910F51" w:rsidRDefault="00691444" w:rsidP="00FC1595">
      <w:pPr>
        <w:rPr>
          <w:rFonts w:ascii="Calibri" w:hAnsi="Calibri" w:cs="Calibri"/>
          <w:b/>
          <w:sz w:val="20"/>
          <w:szCs w:val="20"/>
        </w:rPr>
      </w:pPr>
      <w:r w:rsidRPr="00910F51">
        <w:rPr>
          <w:rFonts w:ascii="Calibri" w:hAnsi="Calibri" w:cs="Calibri"/>
          <w:sz w:val="20"/>
          <w:szCs w:val="20"/>
        </w:rPr>
        <w:t xml:space="preserve">       </w:t>
      </w:r>
      <w:r w:rsidR="00D9301F" w:rsidRPr="00910F51">
        <w:rPr>
          <w:rFonts w:ascii="Calibri" w:hAnsi="Calibri" w:cs="Calibri"/>
          <w:b/>
          <w:sz w:val="20"/>
          <w:szCs w:val="20"/>
        </w:rPr>
        <w:t>Sursa</w:t>
      </w:r>
      <w:r w:rsidR="00DB07D6" w:rsidRPr="00910F51">
        <w:rPr>
          <w:rFonts w:ascii="Calibri" w:hAnsi="Calibri" w:cs="Calibri"/>
          <w:b/>
          <w:sz w:val="20"/>
          <w:szCs w:val="20"/>
        </w:rPr>
        <w:t xml:space="preserve"> datelor</w:t>
      </w:r>
      <w:r w:rsidR="00D9301F" w:rsidRPr="00910F51">
        <w:rPr>
          <w:rFonts w:ascii="Calibri" w:hAnsi="Calibri" w:cs="Calibri"/>
          <w:b/>
          <w:sz w:val="20"/>
          <w:szCs w:val="20"/>
        </w:rPr>
        <w:t xml:space="preserve">: Eurostat </w:t>
      </w:r>
      <w:r w:rsidR="002C2EC9" w:rsidRPr="00910F51">
        <w:rPr>
          <w:rFonts w:ascii="Calibri" w:hAnsi="Calibri" w:cs="Calibri"/>
          <w:b/>
          <w:sz w:val="20"/>
          <w:szCs w:val="20"/>
        </w:rPr>
        <w:t>(baza de data online, cod: prc_ppp_ind</w:t>
      </w:r>
      <w:r w:rsidRPr="00910F51">
        <w:rPr>
          <w:rFonts w:ascii="Calibri" w:hAnsi="Calibri" w:cs="Calibri"/>
          <w:b/>
          <w:sz w:val="20"/>
          <w:szCs w:val="20"/>
        </w:rPr>
        <w:t xml:space="preserve"> </w:t>
      </w:r>
    </w:p>
    <w:p w14:paraId="73DFDB24" w14:textId="77777777" w:rsidR="00234507" w:rsidRPr="00910F51" w:rsidRDefault="00691444" w:rsidP="00FC1595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 xml:space="preserve">       </w:t>
      </w:r>
      <w:r w:rsidR="00234507" w:rsidRPr="00017BA9">
        <w:rPr>
          <w:rFonts w:ascii="Calibri" w:hAnsi="Calibri" w:cs="Calibri"/>
          <w:color w:val="0000FF"/>
          <w:sz w:val="20"/>
          <w:szCs w:val="20"/>
        </w:rPr>
        <w:t>Datele tabelului în format xls</w:t>
      </w:r>
      <w:r w:rsidR="00D371B9">
        <w:rPr>
          <w:rFonts w:ascii="Calibri" w:hAnsi="Calibri" w:cs="Calibri"/>
          <w:color w:val="0000FF"/>
          <w:sz w:val="20"/>
          <w:szCs w:val="20"/>
        </w:rPr>
        <w:t>.</w:t>
      </w:r>
    </w:p>
    <w:p w14:paraId="6DE6DA34" w14:textId="77777777" w:rsidR="00E361C7" w:rsidRDefault="00E361C7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C4DECE8" w14:textId="77777777" w:rsidR="00691444" w:rsidRDefault="00691444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64866F66" w14:textId="77777777" w:rsidR="00691444" w:rsidRDefault="00691444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46C8435" w14:textId="77777777" w:rsidR="00691444" w:rsidRDefault="00691444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218AB2A" w14:textId="77777777" w:rsidR="00D82068" w:rsidRDefault="00D82068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76B2FCB" w14:textId="77777777" w:rsidR="00D82068" w:rsidRDefault="00D82068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61547CD" w14:textId="77777777" w:rsidR="00D82068" w:rsidRPr="00017BA9" w:rsidRDefault="00D82068" w:rsidP="001259CE">
      <w:pPr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9706123" w14:textId="77777777" w:rsidR="00FA403B" w:rsidRDefault="00FA403B" w:rsidP="00FA403B">
      <w:pPr>
        <w:numPr>
          <w:ilvl w:val="0"/>
          <w:numId w:val="16"/>
        </w:numPr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România</w:t>
      </w:r>
      <w:r w:rsidR="00153C59">
        <w:rPr>
          <w:rFonts w:ascii="Calibri" w:hAnsi="Calibri" w:cs="Calibri"/>
          <w:bCs/>
          <w:color w:val="000000"/>
          <w:sz w:val="20"/>
          <w:szCs w:val="20"/>
          <w:lang w:val="en-US"/>
        </w:rPr>
        <w:t>,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alături de Ungaria au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cel mai scăzut nivel al prețurilor pentru grupa “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Recreere și cultură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”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>,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în rândul 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>S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tatelor 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pgNum/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>M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embre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>,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Pr="00017BA9">
        <w:rPr>
          <w:rFonts w:ascii="Calibri" w:hAnsi="Calibri" w:cs="Calibri"/>
          <w:bCs/>
          <w:sz w:val="20"/>
          <w:szCs w:val="20"/>
        </w:rPr>
        <w:t>(6</w:t>
      </w:r>
      <w:r w:rsidR="00443C61">
        <w:rPr>
          <w:rFonts w:ascii="Calibri" w:hAnsi="Calibri" w:cs="Calibri"/>
          <w:bCs/>
          <w:sz w:val="20"/>
          <w:szCs w:val="20"/>
        </w:rPr>
        <w:t>3</w:t>
      </w:r>
      <w:r w:rsidRPr="00017BA9">
        <w:rPr>
          <w:rFonts w:ascii="Calibri" w:hAnsi="Calibri" w:cs="Calibri"/>
          <w:bCs/>
          <w:sz w:val="20"/>
          <w:szCs w:val="20"/>
        </w:rPr>
        <w:t>%)</w:t>
      </w:r>
      <w:r w:rsidR="00FA4E33">
        <w:rPr>
          <w:rFonts w:ascii="Calibri" w:hAnsi="Calibri" w:cs="Calibri"/>
          <w:bCs/>
          <w:sz w:val="20"/>
          <w:szCs w:val="20"/>
        </w:rPr>
        <w:t xml:space="preserve"> precum și pentru grupa </w:t>
      </w:r>
      <w:r w:rsidR="00FA4E33">
        <w:rPr>
          <w:rFonts w:ascii="Calibri" w:hAnsi="Calibri" w:cs="Calibri"/>
          <w:bCs/>
          <w:sz w:val="20"/>
          <w:szCs w:val="20"/>
          <w:lang w:val="en-US"/>
        </w:rPr>
        <w:t>“Transport” (69%), alături de Bulgaria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.</w:t>
      </w:r>
    </w:p>
    <w:p w14:paraId="374B3124" w14:textId="77777777" w:rsidR="00A246CA" w:rsidRDefault="00A246CA" w:rsidP="009701F7">
      <w:pPr>
        <w:numPr>
          <w:ilvl w:val="0"/>
          <w:numId w:val="16"/>
        </w:numPr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Bulgaria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rămâne cel mai ieftin stat membru la </w:t>
      </w:r>
      <w:r w:rsidR="00512012">
        <w:rPr>
          <w:rFonts w:ascii="Calibri" w:hAnsi="Calibri" w:cs="Calibri"/>
          <w:bCs/>
          <w:color w:val="000000"/>
          <w:sz w:val="20"/>
          <w:szCs w:val="20"/>
          <w:lang w:val="en-US"/>
        </w:rPr>
        <w:t>articolele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de mobilier</w:t>
      </w:r>
      <w:r w:rsidR="00F9642C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2A08E2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și echipamente de uz casnic 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(6</w:t>
      </w:r>
      <w:r w:rsidR="00DF6948">
        <w:rPr>
          <w:rFonts w:ascii="Calibri" w:hAnsi="Calibri" w:cs="Calibri"/>
          <w:bCs/>
          <w:color w:val="000000"/>
          <w:sz w:val="20"/>
          <w:szCs w:val="20"/>
          <w:lang w:val="en-US"/>
        </w:rPr>
        <w:t>8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%)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, </w:t>
      </w:r>
      <w:r w:rsidR="00F00F80">
        <w:rPr>
          <w:rFonts w:ascii="Calibri" w:hAnsi="Calibri" w:cs="Calibri"/>
          <w:bCs/>
          <w:color w:val="000000"/>
          <w:sz w:val="20"/>
          <w:szCs w:val="20"/>
          <w:lang w:val="en-US"/>
        </w:rPr>
        <w:t>precum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și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la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serviciile de cazare și restaurante (46</w:t>
      </w:r>
      <w:r w:rsidR="00EB49D3"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%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).</w:t>
      </w:r>
    </w:p>
    <w:p w14:paraId="5AA8F91C" w14:textId="77777777" w:rsidR="00FA403B" w:rsidRDefault="00FA403B" w:rsidP="00FA403B">
      <w:pPr>
        <w:numPr>
          <w:ilvl w:val="0"/>
          <w:numId w:val="16"/>
        </w:numPr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Luxemburg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se detașează de restul statelor membre având cel mai mare nivelul al prețurilor pentru “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Articole de mobilier, echipamente de uz ca</w:t>
      </w:r>
      <w:r w:rsidR="00522DB1">
        <w:rPr>
          <w:rFonts w:ascii="Calibri" w:hAnsi="Calibri" w:cs="Calibri"/>
          <w:bCs/>
          <w:color w:val="000000"/>
          <w:sz w:val="20"/>
          <w:szCs w:val="20"/>
          <w:lang w:val="en-US"/>
        </w:rPr>
        <w:t>s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nic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și întreținerea curentă a locuinței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” (12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4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%). În ceea ce privește grupa “Transport”,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Suedia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este cea mai scumpă țară din UE (130%)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.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 </w:t>
      </w:r>
      <w:r w:rsidRPr="00017BA9">
        <w:rPr>
          <w:rFonts w:ascii="Calibri" w:hAnsi="Calibri" w:cs="Calibri"/>
          <w:b/>
          <w:bCs/>
          <w:color w:val="000000"/>
          <w:sz w:val="20"/>
          <w:szCs w:val="20"/>
          <w:lang w:val="en-US"/>
        </w:rPr>
        <w:t>Danemarca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se detașează de restul 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>Statelor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Cs/>
          <w:color w:val="000000"/>
          <w:sz w:val="20"/>
          <w:szCs w:val="20"/>
          <w:lang w:val="en-US"/>
        </w:rPr>
        <w:t>M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embre, fiind cea mai scumpă țară la 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grupa “Recreere și cultură “(140%) și la 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>serviciile de cazare și restaurante (15</w:t>
      </w:r>
      <w:r w:rsidR="00443C61">
        <w:rPr>
          <w:rFonts w:ascii="Calibri" w:hAnsi="Calibri" w:cs="Calibri"/>
          <w:bCs/>
          <w:color w:val="000000"/>
          <w:sz w:val="20"/>
          <w:szCs w:val="20"/>
          <w:lang w:val="en-US"/>
        </w:rPr>
        <w:t>5</w:t>
      </w:r>
      <w:r w:rsidRPr="00017BA9">
        <w:rPr>
          <w:rFonts w:ascii="Calibri" w:hAnsi="Calibri" w:cs="Calibri"/>
          <w:bCs/>
          <w:color w:val="000000"/>
          <w:sz w:val="20"/>
          <w:szCs w:val="20"/>
          <w:lang w:val="en-US"/>
        </w:rPr>
        <w:t xml:space="preserve">%). </w:t>
      </w:r>
    </w:p>
    <w:p w14:paraId="1F698882" w14:textId="77777777" w:rsidR="00064CB3" w:rsidRPr="00017BA9" w:rsidRDefault="00064CB3" w:rsidP="00064CB3">
      <w:pPr>
        <w:ind w:left="720"/>
        <w:jc w:val="both"/>
        <w:rPr>
          <w:rFonts w:ascii="Calibri" w:hAnsi="Calibri" w:cs="Calibri"/>
          <w:bCs/>
          <w:color w:val="000000"/>
          <w:sz w:val="20"/>
          <w:szCs w:val="20"/>
          <w:lang w:val="en-US"/>
        </w:rPr>
      </w:pPr>
    </w:p>
    <w:p w14:paraId="2EA694D5" w14:textId="77777777" w:rsidR="00064CB3" w:rsidRPr="00017BA9" w:rsidRDefault="00064CB3" w:rsidP="00064CB3">
      <w:pPr>
        <w:ind w:left="360"/>
        <w:jc w:val="both"/>
        <w:rPr>
          <w:rFonts w:ascii="Calibri" w:hAnsi="Calibri" w:cs="Calibri"/>
          <w:b/>
          <w:sz w:val="20"/>
          <w:szCs w:val="20"/>
        </w:rPr>
      </w:pPr>
      <w:r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>Tabel</w:t>
      </w:r>
      <w:r>
        <w:rPr>
          <w:rFonts w:ascii="Calibri" w:hAnsi="Calibri" w:cs="Calibri"/>
          <w:b/>
          <w:color w:val="000000"/>
          <w:sz w:val="20"/>
          <w:szCs w:val="20"/>
          <w:lang w:val="en-US"/>
        </w:rPr>
        <w:t>ul</w:t>
      </w:r>
      <w:r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lang w:val="en-US"/>
        </w:rPr>
        <w:t>2</w:t>
      </w:r>
      <w:r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>:</w:t>
      </w:r>
      <w:r w:rsidRPr="00017BA9">
        <w:rPr>
          <w:b/>
          <w:sz w:val="20"/>
          <w:szCs w:val="20"/>
        </w:rPr>
        <w:t xml:space="preserve"> </w:t>
      </w:r>
      <w:r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Indicii nivelului preţurilor </w:t>
      </w:r>
      <w:r w:rsidRPr="00017BA9">
        <w:rPr>
          <w:rFonts w:ascii="Calibri" w:hAnsi="Calibri" w:cs="Calibri"/>
          <w:b/>
          <w:sz w:val="20"/>
          <w:szCs w:val="20"/>
        </w:rPr>
        <w:t>pentru principalele grupe de bunuri și servicii f</w:t>
      </w:r>
      <w:r>
        <w:rPr>
          <w:rFonts w:ascii="Calibri" w:hAnsi="Calibri" w:cs="Calibri"/>
          <w:b/>
          <w:sz w:val="20"/>
          <w:szCs w:val="20"/>
        </w:rPr>
        <w:t>ață</w:t>
      </w:r>
      <w:r w:rsidRPr="00017BA9">
        <w:rPr>
          <w:rFonts w:ascii="Calibri" w:hAnsi="Calibri" w:cs="Calibri"/>
          <w:b/>
          <w:sz w:val="20"/>
          <w:szCs w:val="20"/>
        </w:rPr>
        <w:t xml:space="preserve"> de media UE, în anul 2021 </w:t>
      </w:r>
      <w:r w:rsidRPr="00017BA9">
        <w:rPr>
          <w:rFonts w:ascii="Calibri" w:hAnsi="Calibri" w:cs="Calibri"/>
          <w:b/>
          <w:color w:val="000000"/>
          <w:sz w:val="20"/>
          <w:szCs w:val="20"/>
          <w:lang w:val="en-US"/>
        </w:rPr>
        <w:t xml:space="preserve"> </w:t>
      </w:r>
    </w:p>
    <w:p w14:paraId="47A86C4C" w14:textId="77777777" w:rsidR="00601309" w:rsidRDefault="00064CB3" w:rsidP="00601309">
      <w:pPr>
        <w:ind w:left="7800" w:firstLine="69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</w:t>
      </w:r>
      <w:r w:rsidR="00917A4B">
        <w:rPr>
          <w:rFonts w:ascii="Calibri" w:hAnsi="Calibri" w:cs="Calibri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 xml:space="preserve"> </w:t>
      </w:r>
      <w:r w:rsidR="00FA4E3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</w:t>
      </w:r>
      <w:r w:rsidRPr="00017BA9">
        <w:rPr>
          <w:rFonts w:ascii="Calibri" w:hAnsi="Calibri" w:cs="Calibri"/>
          <w:sz w:val="20"/>
          <w:szCs w:val="20"/>
        </w:rPr>
        <w:t>-</w:t>
      </w:r>
      <w:r>
        <w:rPr>
          <w:rFonts w:ascii="Calibri" w:hAnsi="Calibri" w:cs="Calibri"/>
          <w:sz w:val="20"/>
          <w:szCs w:val="20"/>
        </w:rPr>
        <w:t xml:space="preserve"> </w:t>
      </w:r>
      <w:r w:rsidRPr="00017BA9">
        <w:rPr>
          <w:rFonts w:ascii="Calibri" w:hAnsi="Calibri" w:cs="Calibri"/>
          <w:sz w:val="20"/>
          <w:szCs w:val="20"/>
        </w:rPr>
        <w:t>procente</w:t>
      </w:r>
      <w:r>
        <w:rPr>
          <w:rFonts w:ascii="Calibri" w:hAnsi="Calibri" w:cs="Calibri"/>
          <w:sz w:val="20"/>
          <w:szCs w:val="20"/>
        </w:rPr>
        <w:t xml:space="preserve"> </w:t>
      </w:r>
      <w:r w:rsidR="00FA4E33">
        <w:rPr>
          <w:rFonts w:ascii="Calibri" w:hAnsi="Calibri" w:cs="Calibri"/>
          <w:sz w:val="20"/>
          <w:szCs w:val="20"/>
        </w:rPr>
        <w:t>-</w:t>
      </w:r>
    </w:p>
    <w:tbl>
      <w:tblPr>
        <w:tblpPr w:leftFromText="180" w:rightFromText="180" w:vertAnchor="text" w:horzAnchor="margin" w:tblpX="378" w:tblpY="81"/>
        <w:tblW w:w="10008" w:type="dxa"/>
        <w:tblLook w:val="04A0" w:firstRow="1" w:lastRow="0" w:firstColumn="1" w:lastColumn="0" w:noHBand="0" w:noVBand="1"/>
      </w:tblPr>
      <w:tblGrid>
        <w:gridCol w:w="2132"/>
        <w:gridCol w:w="1430"/>
        <w:gridCol w:w="1810"/>
        <w:gridCol w:w="1350"/>
        <w:gridCol w:w="1666"/>
        <w:gridCol w:w="1620"/>
      </w:tblGrid>
      <w:tr w:rsidR="00DF6948" w14:paraId="2378FAAF" w14:textId="77777777" w:rsidTr="00FA4E33">
        <w:trPr>
          <w:trHeight w:val="861"/>
        </w:trPr>
        <w:tc>
          <w:tcPr>
            <w:tcW w:w="2132" w:type="dxa"/>
            <w:tcBorders>
              <w:top w:val="single" w:sz="8" w:space="0" w:color="305496"/>
              <w:left w:val="single" w:sz="8" w:space="0" w:color="305496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234F6CF0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Țara</w:t>
            </w:r>
          </w:p>
        </w:tc>
        <w:tc>
          <w:tcPr>
            <w:tcW w:w="143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3912F80C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Consumul final al gospodăriilor populației</w:t>
            </w:r>
          </w:p>
        </w:tc>
        <w:tc>
          <w:tcPr>
            <w:tcW w:w="181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27C2BB6E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Articole de mobilier, echipamente de uz casnic și întreținerea curentă a locuinței</w:t>
            </w:r>
          </w:p>
        </w:tc>
        <w:tc>
          <w:tcPr>
            <w:tcW w:w="135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749D20FB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Transport</w:t>
            </w:r>
          </w:p>
        </w:tc>
        <w:tc>
          <w:tcPr>
            <w:tcW w:w="1666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4B073BF6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Recreere și cultură</w:t>
            </w:r>
          </w:p>
        </w:tc>
        <w:tc>
          <w:tcPr>
            <w:tcW w:w="1620" w:type="dxa"/>
            <w:tcBorders>
              <w:top w:val="single" w:sz="8" w:space="0" w:color="305496"/>
              <w:left w:val="nil"/>
              <w:bottom w:val="single" w:sz="8" w:space="0" w:color="305496"/>
              <w:right w:val="single" w:sz="8" w:space="0" w:color="305496"/>
            </w:tcBorders>
            <w:shd w:val="clear" w:color="000000" w:fill="FFCCCC"/>
            <w:vAlign w:val="center"/>
            <w:hideMark/>
          </w:tcPr>
          <w:p w14:paraId="6F943317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Restaurante și hoteluri</w:t>
            </w:r>
          </w:p>
        </w:tc>
      </w:tr>
      <w:tr w:rsidR="00DF6948" w14:paraId="2148D220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7335D2D4" w14:textId="77777777" w:rsidR="00DF6948" w:rsidRDefault="00DF6948" w:rsidP="00DF69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Uniunea Europeană (UE 27)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72E60540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7D645A5D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0DEB9434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21A15074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CCCC"/>
            <w:noWrap/>
            <w:vAlign w:val="bottom"/>
            <w:hideMark/>
          </w:tcPr>
          <w:p w14:paraId="44984982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DF6948" w14:paraId="31BBE434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1B1DD8F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Elveția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F8D78D0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160907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092177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F9B16F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BCC8FF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169</w:t>
            </w:r>
          </w:p>
        </w:tc>
      </w:tr>
      <w:tr w:rsidR="00DF6948" w14:paraId="60C0513C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02E60D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Islanda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E4578D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A3A739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F70BE93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34BBDA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BB7AEF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163</w:t>
            </w:r>
          </w:p>
        </w:tc>
      </w:tr>
      <w:tr w:rsidR="00DF6948" w14:paraId="0A20C21A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CF94F46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Norvegia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363208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CE3845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F58679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D8A632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10B509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167</w:t>
            </w:r>
          </w:p>
        </w:tc>
      </w:tr>
      <w:tr w:rsidR="00DF6948" w14:paraId="57CEC86C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5C306DC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Danemarca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5EAEE3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C20BC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F4A899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98C42F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4F1B58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</w:tr>
      <w:tr w:rsidR="00DF6948" w14:paraId="5308FF08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2EBCE26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Irlanda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50456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183195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D7117A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6A4EF6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0803F4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</w:tr>
      <w:tr w:rsidR="00DF6948" w14:paraId="7B8EF798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2CA722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Luxemburg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147E6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C41C79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294244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840D260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9D355C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</w:tr>
      <w:tr w:rsidR="00DF6948" w14:paraId="040EA029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6BD6F3E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Suedia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C615C1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E16AB8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6BF5DB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67A2E9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85AF24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</w:tr>
      <w:tr w:rsidR="00DF6948" w14:paraId="0D6B19F6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023081B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Finlanda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AFACB0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24B8F8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7CD180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21FF8B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F968B4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</w:tr>
      <w:tr w:rsidR="00DF6948" w14:paraId="74C41FDF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0CFB80C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Olanda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D4A1B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74CBEE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6445A1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7410AB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544A03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</w:tr>
      <w:tr w:rsidR="00DF6948" w14:paraId="16CF69E0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3079471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Belgia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4D6723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1E8868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7E3EF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642539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98E654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</w:t>
            </w:r>
          </w:p>
        </w:tc>
      </w:tr>
      <w:tr w:rsidR="00DF6948" w14:paraId="439C2EA0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E1D6222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Franța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84A8F30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F64004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A6C57F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977C8A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35A207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</w:tr>
      <w:tr w:rsidR="00DF6948" w14:paraId="17A5BC2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9B58F3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Austria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543D15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5C32F2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BF4D39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A67362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4965E2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</w:tr>
      <w:tr w:rsidR="00DF6948" w14:paraId="5C9C34B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C310049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Germania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EE4C69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9A4438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DC0AC9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3A9655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24A1573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</w:tr>
      <w:tr w:rsidR="00DF6948" w14:paraId="7FFF16DD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FA053B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Italia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4B83C2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AE9095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91973E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08132F3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78C64A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</w:tr>
      <w:tr w:rsidR="00DF6948" w14:paraId="7601550A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81D0A34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D1D58B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9E126A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D944A5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CF44FC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3A6832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</w:tr>
      <w:tr w:rsidR="00DF6948" w14:paraId="7114F0C1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C28487C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Cipru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0718D9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F51E42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3AB51A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E68ACE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30BD814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</w:tr>
      <w:tr w:rsidR="00DF6948" w14:paraId="33FA65B1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B652143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Slovacia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1B9D8A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1B8C220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7FC287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FA8F16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F41377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</w:tr>
      <w:tr w:rsidR="00DF6948" w14:paraId="404ED67D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1C027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Portugalia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596FD1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C78839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65C498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D7EE4C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81B09A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</w:tr>
      <w:tr w:rsidR="00DF6948" w14:paraId="72F79926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B874C82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Malta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08EDB9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389EFF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DC7A99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FC25A3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6E0C8FD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</w:tr>
      <w:tr w:rsidR="00DF6948" w14:paraId="7853604A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FBB49DB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Slovenia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F0D248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6405F2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E8F803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2375D8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10CEFA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</w:tr>
      <w:tr w:rsidR="00DF6948" w14:paraId="7451ADB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1A1E9AD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B8E4FD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D98C0B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8262AB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B424A9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2935141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DF6948" w14:paraId="156DCBBC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C8352F9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Estonia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5130B8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6ADF14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A0D928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5BAE9D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EA9715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</w:tr>
      <w:tr w:rsidR="00DF6948" w14:paraId="58271870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2D967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Cehia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FF1D1F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B107A7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2373EF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C773663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446E57B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</w:tr>
      <w:tr w:rsidR="00DF6948" w14:paraId="1794004C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EE1532E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Letonia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5410B63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B5EC29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5BC45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48915C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A144B2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</w:tr>
      <w:tr w:rsidR="00DF6948" w14:paraId="13F61CA1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3DC110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Lituania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C85A32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D06A0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F7F7E9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928DCC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FAA511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</w:t>
            </w:r>
          </w:p>
        </w:tc>
      </w:tr>
      <w:tr w:rsidR="00DF6948" w14:paraId="02802978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3B4F938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Croația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C9C40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772A6A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470012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7E9F124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4D4CB1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DF6948" w14:paraId="0418B0E5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9C39A98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Ungaria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00E5CF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2112C7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7E48DE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6252BA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0B096FF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</w:tr>
      <w:tr w:rsidR="00DF6948" w14:paraId="00A7326B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246FF15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Albania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8B4A3D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4FD64F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816272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54E7CB98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B7A5F4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</w:tr>
      <w:tr w:rsidR="00DF6948" w14:paraId="38077753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945E8BF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Muntenegru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9FEB1D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AFA65C2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31E861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50AE63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7E2DA45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</w:tr>
      <w:tr w:rsidR="00DF6948" w14:paraId="33E5BCB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1798897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Serbia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E79CFB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223590F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411C4E5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5F755A5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2C9D918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F6948" w14:paraId="7F8A557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F869BCB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Polonia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A137B43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86C7BE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14D9259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9846DF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87C9C7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</w:t>
            </w:r>
          </w:p>
        </w:tc>
      </w:tr>
      <w:tr w:rsidR="00DF6948" w14:paraId="74C01379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8FEB6AF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Bosnia și Herțegovina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EB357C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13B3F0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8EE42F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78CD460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20BC597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</w:tr>
      <w:tr w:rsidR="00DF6948" w14:paraId="33CF5BC8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7B7F77B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Bulgaria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79DDA2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3DC744B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0A4EB7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1E90D4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14AFB56A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</w:tr>
      <w:tr w:rsidR="00DF6948" w14:paraId="33BB0EE6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3500CAF1" w14:textId="77777777" w:rsidR="00DF6948" w:rsidRDefault="00DF6948" w:rsidP="00DF694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România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7A765DBB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29F6DB80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7E4F8E0B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69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BFBFBF"/>
            <w:noWrap/>
            <w:vAlign w:val="bottom"/>
            <w:hideMark/>
          </w:tcPr>
          <w:p w14:paraId="4D094650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000000" w:fill="BFBFBF"/>
            <w:noWrap/>
            <w:vAlign w:val="bottom"/>
            <w:hideMark/>
          </w:tcPr>
          <w:p w14:paraId="77DB50E3" w14:textId="77777777" w:rsidR="00DF6948" w:rsidRDefault="00DF6948" w:rsidP="00DF694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54</w:t>
            </w:r>
          </w:p>
        </w:tc>
      </w:tr>
      <w:tr w:rsidR="00DF6948" w14:paraId="6E9C21A9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A375FE7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Macedonia de Nord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966EC4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C83EF1B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1C78D44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62753A41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305496"/>
              <w:right w:val="single" w:sz="8" w:space="0" w:color="305496"/>
            </w:tcBorders>
            <w:shd w:val="clear" w:color="auto" w:fill="auto"/>
            <w:vAlign w:val="center"/>
            <w:hideMark/>
          </w:tcPr>
          <w:p w14:paraId="4648B6DD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</w:tr>
      <w:tr w:rsidR="00DF6948" w14:paraId="75A0BB8E" w14:textId="77777777" w:rsidTr="00FA4E33">
        <w:trPr>
          <w:trHeight w:val="197"/>
        </w:trPr>
        <w:tc>
          <w:tcPr>
            <w:tcW w:w="2132" w:type="dxa"/>
            <w:tcBorders>
              <w:top w:val="nil"/>
              <w:left w:val="single" w:sz="8" w:space="0" w:color="305496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76C44761" w14:textId="77777777" w:rsidR="00DF6948" w:rsidRDefault="00DF6948" w:rsidP="00DF6948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Turcia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62F33F29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28CAE987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B6DAD86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8" w:space="0" w:color="305496"/>
              <w:right w:val="single" w:sz="4" w:space="0" w:color="305496"/>
            </w:tcBorders>
            <w:shd w:val="clear" w:color="auto" w:fill="auto"/>
            <w:noWrap/>
            <w:vAlign w:val="bottom"/>
            <w:hideMark/>
          </w:tcPr>
          <w:p w14:paraId="09A69A1E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305496"/>
              <w:right w:val="single" w:sz="8" w:space="0" w:color="305496"/>
            </w:tcBorders>
            <w:shd w:val="clear" w:color="auto" w:fill="auto"/>
            <w:noWrap/>
            <w:vAlign w:val="bottom"/>
            <w:hideMark/>
          </w:tcPr>
          <w:p w14:paraId="5773195C" w14:textId="77777777" w:rsidR="00DF6948" w:rsidRDefault="00DF6948" w:rsidP="00DF694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</w:tr>
    </w:tbl>
    <w:p w14:paraId="32482E53" w14:textId="77777777" w:rsidR="00DF6948" w:rsidRDefault="00DF6948" w:rsidP="00601309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</w:t>
      </w:r>
      <w:r w:rsidR="00DB07D6" w:rsidRPr="00AB52C1">
        <w:rPr>
          <w:rFonts w:ascii="Calibri" w:hAnsi="Calibri" w:cs="Calibri"/>
          <w:b/>
          <w:sz w:val="20"/>
          <w:szCs w:val="20"/>
        </w:rPr>
        <w:t>Sursa</w:t>
      </w:r>
      <w:r w:rsidR="00DB07D6">
        <w:rPr>
          <w:rFonts w:ascii="Calibri" w:hAnsi="Calibri" w:cs="Calibri"/>
          <w:b/>
          <w:sz w:val="20"/>
          <w:szCs w:val="20"/>
        </w:rPr>
        <w:t xml:space="preserve"> datelor</w:t>
      </w:r>
      <w:r w:rsidR="00DD47D1" w:rsidRPr="00AB52C1">
        <w:rPr>
          <w:rFonts w:ascii="Calibri" w:hAnsi="Calibri" w:cs="Calibri"/>
          <w:b/>
          <w:sz w:val="20"/>
          <w:szCs w:val="20"/>
        </w:rPr>
        <w:t>: Eurostat (</w:t>
      </w:r>
      <w:r w:rsidR="005F1E65">
        <w:rPr>
          <w:rFonts w:ascii="Calibri" w:hAnsi="Calibri" w:cs="Calibri"/>
          <w:b/>
          <w:sz w:val="20"/>
          <w:szCs w:val="20"/>
        </w:rPr>
        <w:t xml:space="preserve">baza de </w:t>
      </w:r>
      <w:r w:rsidR="00DD47D1" w:rsidRPr="00AB52C1">
        <w:rPr>
          <w:rFonts w:ascii="Calibri" w:hAnsi="Calibri" w:cs="Calibri"/>
          <w:b/>
          <w:sz w:val="20"/>
          <w:szCs w:val="20"/>
        </w:rPr>
        <w:t xml:space="preserve">data </w:t>
      </w:r>
      <w:r w:rsidR="005F1E65" w:rsidRPr="00AB52C1">
        <w:rPr>
          <w:rFonts w:ascii="Calibri" w:hAnsi="Calibri" w:cs="Calibri"/>
          <w:b/>
          <w:sz w:val="20"/>
          <w:szCs w:val="20"/>
        </w:rPr>
        <w:t>online</w:t>
      </w:r>
      <w:r w:rsidR="005F1E65">
        <w:rPr>
          <w:rFonts w:ascii="Calibri" w:hAnsi="Calibri" w:cs="Calibri"/>
          <w:b/>
          <w:sz w:val="20"/>
          <w:szCs w:val="20"/>
        </w:rPr>
        <w:t xml:space="preserve">, </w:t>
      </w:r>
      <w:r w:rsidR="00DD47D1" w:rsidRPr="00AB52C1">
        <w:rPr>
          <w:rFonts w:ascii="Calibri" w:hAnsi="Calibri" w:cs="Calibri"/>
          <w:b/>
          <w:sz w:val="20"/>
          <w:szCs w:val="20"/>
        </w:rPr>
        <w:t>cod: prc_ppp_ind)</w:t>
      </w:r>
    </w:p>
    <w:p w14:paraId="1625E3D2" w14:textId="77777777" w:rsidR="00064CB3" w:rsidRPr="00DF6948" w:rsidRDefault="00DF6948" w:rsidP="00601309">
      <w:pPr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 xml:space="preserve">      </w:t>
      </w:r>
      <w:r w:rsidR="00064CB3" w:rsidRPr="00017BA9">
        <w:rPr>
          <w:rFonts w:ascii="Calibri" w:hAnsi="Calibri" w:cs="Calibri"/>
          <w:color w:val="0000FF"/>
          <w:sz w:val="20"/>
          <w:szCs w:val="20"/>
        </w:rPr>
        <w:t>Datele tabelului în format xls</w:t>
      </w:r>
      <w:r w:rsidR="00064CB3">
        <w:rPr>
          <w:rFonts w:ascii="Calibri" w:hAnsi="Calibri" w:cs="Calibri"/>
          <w:color w:val="0000FF"/>
          <w:sz w:val="20"/>
          <w:szCs w:val="20"/>
        </w:rPr>
        <w:t>.</w:t>
      </w:r>
    </w:p>
    <w:p w14:paraId="46A1B592" w14:textId="77777777" w:rsidR="0047675E" w:rsidRDefault="0047675E" w:rsidP="001259CE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44BF8A6A" w14:textId="77777777" w:rsidR="00F02BAF" w:rsidRDefault="00F02BAF" w:rsidP="001259CE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032DDF53" w14:textId="77777777" w:rsidR="00F02BAF" w:rsidRPr="00236EFF" w:rsidRDefault="00F02BAF" w:rsidP="001259CE">
      <w:pPr>
        <w:jc w:val="both"/>
        <w:rPr>
          <w:rFonts w:ascii="Calibri" w:hAnsi="Calibri" w:cs="Calibri"/>
          <w:bCs/>
          <w:color w:val="000000"/>
          <w:sz w:val="22"/>
          <w:szCs w:val="22"/>
        </w:rPr>
      </w:pPr>
    </w:p>
    <w:p w14:paraId="11DD2C53" w14:textId="77777777" w:rsidR="00767F9C" w:rsidRPr="008043F2" w:rsidRDefault="008043F2" w:rsidP="00767F9C">
      <w:pPr>
        <w:numPr>
          <w:ilvl w:val="0"/>
          <w:numId w:val="6"/>
        </w:numPr>
        <w:rPr>
          <w:rFonts w:ascii="Calibri" w:hAnsi="Calibri" w:cs="Calibri"/>
          <w:b/>
          <w:color w:val="000000"/>
          <w:sz w:val="28"/>
          <w:szCs w:val="28"/>
        </w:rPr>
      </w:pPr>
      <w:r w:rsidRPr="00767F9C">
        <w:rPr>
          <w:rFonts w:ascii="Calibri" w:hAnsi="Calibri" w:cs="Calibri"/>
          <w:b/>
          <w:sz w:val="28"/>
          <w:szCs w:val="28"/>
        </w:rPr>
        <w:t>Indicii de volum ai P</w:t>
      </w:r>
      <w:r w:rsidR="00AB1C39" w:rsidRPr="00767F9C">
        <w:rPr>
          <w:rFonts w:ascii="Calibri" w:hAnsi="Calibri" w:cs="Calibri"/>
          <w:b/>
          <w:sz w:val="28"/>
          <w:szCs w:val="28"/>
        </w:rPr>
        <w:t xml:space="preserve">rodusului </w:t>
      </w:r>
      <w:r w:rsidRPr="00767F9C">
        <w:rPr>
          <w:rFonts w:ascii="Calibri" w:hAnsi="Calibri" w:cs="Calibri"/>
          <w:b/>
          <w:sz w:val="28"/>
          <w:szCs w:val="28"/>
        </w:rPr>
        <w:t>I</w:t>
      </w:r>
      <w:r w:rsidR="00AB1C39" w:rsidRPr="00767F9C">
        <w:rPr>
          <w:rFonts w:ascii="Calibri" w:hAnsi="Calibri" w:cs="Calibri"/>
          <w:b/>
          <w:sz w:val="28"/>
          <w:szCs w:val="28"/>
        </w:rPr>
        <w:t xml:space="preserve">ntern </w:t>
      </w:r>
      <w:r w:rsidRPr="00767F9C">
        <w:rPr>
          <w:rFonts w:ascii="Calibri" w:hAnsi="Calibri" w:cs="Calibri"/>
          <w:b/>
          <w:sz w:val="28"/>
          <w:szCs w:val="28"/>
        </w:rPr>
        <w:t>B</w:t>
      </w:r>
      <w:r w:rsidR="00AB1C39" w:rsidRPr="00767F9C">
        <w:rPr>
          <w:rFonts w:ascii="Calibri" w:hAnsi="Calibri" w:cs="Calibri"/>
          <w:b/>
          <w:sz w:val="28"/>
          <w:szCs w:val="28"/>
        </w:rPr>
        <w:t>rut</w:t>
      </w:r>
      <w:r w:rsidRPr="00767F9C">
        <w:rPr>
          <w:rFonts w:ascii="Calibri" w:hAnsi="Calibri" w:cs="Calibri"/>
          <w:b/>
          <w:sz w:val="28"/>
          <w:szCs w:val="28"/>
        </w:rPr>
        <w:t xml:space="preserve"> </w:t>
      </w:r>
      <w:r w:rsidR="00281047" w:rsidRPr="00767F9C">
        <w:rPr>
          <w:rFonts w:ascii="Calibri" w:hAnsi="Calibri" w:cs="Calibri"/>
          <w:b/>
          <w:sz w:val="28"/>
          <w:szCs w:val="28"/>
        </w:rPr>
        <w:t>pe locuitor</w:t>
      </w:r>
      <w:r w:rsidR="00833FCE" w:rsidRPr="00767F9C">
        <w:rPr>
          <w:rFonts w:ascii="Calibri" w:hAnsi="Calibri" w:cs="Calibri"/>
          <w:b/>
          <w:sz w:val="28"/>
          <w:szCs w:val="28"/>
        </w:rPr>
        <w:t xml:space="preserve"> </w:t>
      </w:r>
      <w:r w:rsidR="00767F9C" w:rsidRPr="00767F9C">
        <w:rPr>
          <w:rFonts w:ascii="Calibri" w:hAnsi="Calibri" w:cs="Calibri"/>
          <w:b/>
          <w:sz w:val="28"/>
          <w:szCs w:val="28"/>
        </w:rPr>
        <w:t>calcula</w:t>
      </w:r>
      <w:r w:rsidR="006537ED">
        <w:rPr>
          <w:rFonts w:ascii="Calibri" w:hAnsi="Calibri" w:cs="Calibri"/>
          <w:b/>
          <w:sz w:val="28"/>
          <w:szCs w:val="28"/>
        </w:rPr>
        <w:t>ț</w:t>
      </w:r>
      <w:r w:rsidR="00767F9C" w:rsidRPr="00767F9C">
        <w:rPr>
          <w:rFonts w:ascii="Calibri" w:hAnsi="Calibri" w:cs="Calibri"/>
          <w:b/>
          <w:sz w:val="28"/>
          <w:szCs w:val="28"/>
        </w:rPr>
        <w:t>i pe baza Parit</w:t>
      </w:r>
      <w:r w:rsidR="00917A4B">
        <w:rPr>
          <w:rFonts w:ascii="Calibri" w:hAnsi="Calibri" w:cs="Calibri"/>
          <w:b/>
          <w:sz w:val="28"/>
          <w:szCs w:val="28"/>
        </w:rPr>
        <w:t>ăț</w:t>
      </w:r>
      <w:r w:rsidR="00767F9C" w:rsidRPr="00767F9C">
        <w:rPr>
          <w:rFonts w:ascii="Calibri" w:hAnsi="Calibri" w:cs="Calibri"/>
          <w:b/>
          <w:sz w:val="28"/>
          <w:szCs w:val="28"/>
        </w:rPr>
        <w:t>ii Puterii de Cump</w:t>
      </w:r>
      <w:r w:rsidR="006908BA">
        <w:rPr>
          <w:rFonts w:ascii="Calibri" w:hAnsi="Calibri" w:cs="Calibri"/>
          <w:b/>
          <w:sz w:val="28"/>
          <w:szCs w:val="28"/>
        </w:rPr>
        <w:t>ă</w:t>
      </w:r>
      <w:r w:rsidR="00767F9C" w:rsidRPr="00767F9C">
        <w:rPr>
          <w:rFonts w:ascii="Calibri" w:hAnsi="Calibri" w:cs="Calibri"/>
          <w:b/>
          <w:sz w:val="28"/>
          <w:szCs w:val="28"/>
        </w:rPr>
        <w:t xml:space="preserve">rare </w:t>
      </w:r>
    </w:p>
    <w:p w14:paraId="6CFA3655" w14:textId="77777777" w:rsidR="008043F2" w:rsidRPr="00767F9C" w:rsidRDefault="008043F2" w:rsidP="00767F9C">
      <w:pPr>
        <w:ind w:left="720"/>
        <w:rPr>
          <w:rFonts w:ascii="Calibri" w:hAnsi="Calibri" w:cs="Calibri"/>
          <w:b/>
          <w:color w:val="000000"/>
          <w:sz w:val="28"/>
          <w:szCs w:val="28"/>
        </w:rPr>
      </w:pPr>
    </w:p>
    <w:p w14:paraId="560344FA" w14:textId="77777777" w:rsidR="00407BAB" w:rsidRPr="003B59A3" w:rsidRDefault="00407BAB" w:rsidP="009701F7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F12AB5">
        <w:rPr>
          <w:rFonts w:ascii="Calibri" w:hAnsi="Calibri" w:cs="Calibri"/>
          <w:b/>
          <w:bCs/>
          <w:sz w:val="20"/>
          <w:szCs w:val="20"/>
        </w:rPr>
        <w:t>România</w:t>
      </w:r>
      <w:r w:rsidRPr="00F12AB5">
        <w:rPr>
          <w:rFonts w:ascii="Calibri" w:hAnsi="Calibri" w:cs="Calibri"/>
          <w:bCs/>
          <w:sz w:val="20"/>
          <w:szCs w:val="20"/>
        </w:rPr>
        <w:t xml:space="preserve">, </w:t>
      </w:r>
      <w:r w:rsidR="00F00F80">
        <w:rPr>
          <w:rFonts w:ascii="Calibri" w:hAnsi="Calibri" w:cs="Calibri"/>
          <w:bCs/>
          <w:sz w:val="20"/>
          <w:szCs w:val="20"/>
        </w:rPr>
        <w:t>î</w:t>
      </w:r>
      <w:r w:rsidRPr="00F12AB5">
        <w:rPr>
          <w:rFonts w:ascii="Calibri" w:hAnsi="Calibri" w:cs="Calibri"/>
          <w:bCs/>
          <w:sz w:val="20"/>
          <w:szCs w:val="20"/>
        </w:rPr>
        <w:t xml:space="preserve">mpreună cu alte </w:t>
      </w:r>
      <w:r w:rsidR="00893D28" w:rsidRPr="00F12AB5">
        <w:rPr>
          <w:rFonts w:ascii="Calibri" w:hAnsi="Calibri" w:cs="Calibri"/>
          <w:bCs/>
          <w:sz w:val="20"/>
          <w:szCs w:val="20"/>
        </w:rPr>
        <w:t>cinci</w:t>
      </w:r>
      <w:r w:rsidRPr="00F12AB5">
        <w:rPr>
          <w:rFonts w:ascii="Calibri" w:hAnsi="Calibri" w:cs="Calibri"/>
          <w:bCs/>
          <w:sz w:val="20"/>
          <w:szCs w:val="20"/>
        </w:rPr>
        <w:t xml:space="preserve"> State Membre (</w:t>
      </w:r>
      <w:r w:rsidRPr="00F12AB5">
        <w:rPr>
          <w:rFonts w:ascii="Calibri" w:hAnsi="Calibri" w:cs="Calibri"/>
          <w:b/>
          <w:bCs/>
          <w:sz w:val="20"/>
          <w:szCs w:val="20"/>
        </w:rPr>
        <w:t>Polonia, Ungaria, Portugalia, Letonia și Croația</w:t>
      </w:r>
      <w:r w:rsidRPr="00F12AB5">
        <w:rPr>
          <w:rFonts w:ascii="Calibri" w:hAnsi="Calibri" w:cs="Calibri"/>
          <w:bCs/>
          <w:sz w:val="20"/>
          <w:szCs w:val="20"/>
        </w:rPr>
        <w:t xml:space="preserve">) înregistrează valori  </w:t>
      </w:r>
      <w:r w:rsidR="00A435E5" w:rsidRPr="00F12AB5">
        <w:rPr>
          <w:rFonts w:ascii="Calibri" w:hAnsi="Calibri" w:cs="Calibri"/>
          <w:bCs/>
          <w:sz w:val="20"/>
          <w:szCs w:val="20"/>
        </w:rPr>
        <w:t>ale PIB pe locuitor,</w:t>
      </w:r>
      <w:r w:rsidR="003B59A3" w:rsidRPr="003B59A3">
        <w:rPr>
          <w:rFonts w:ascii="Calibri" w:hAnsi="Calibri" w:cs="Calibri"/>
          <w:bCs/>
          <w:sz w:val="20"/>
          <w:szCs w:val="20"/>
        </w:rPr>
        <w:t xml:space="preserve"> </w:t>
      </w:r>
      <w:r w:rsidR="003B59A3" w:rsidRPr="00F12AB5">
        <w:rPr>
          <w:rFonts w:ascii="Calibri" w:hAnsi="Calibri" w:cs="Calibri"/>
          <w:bCs/>
          <w:sz w:val="20"/>
          <w:szCs w:val="20"/>
        </w:rPr>
        <w:t xml:space="preserve">în anul 2021, </w:t>
      </w:r>
      <w:r w:rsidR="00FA4E33">
        <w:rPr>
          <w:rFonts w:ascii="Calibri" w:hAnsi="Calibri" w:cs="Calibri"/>
          <w:bCs/>
          <w:sz w:val="20"/>
          <w:szCs w:val="20"/>
        </w:rPr>
        <w:t xml:space="preserve">cu </w:t>
      </w:r>
      <w:r w:rsidRPr="00F12AB5">
        <w:rPr>
          <w:rFonts w:ascii="Calibri" w:hAnsi="Calibri" w:cs="Calibri"/>
          <w:bCs/>
          <w:sz w:val="20"/>
          <w:szCs w:val="20"/>
        </w:rPr>
        <w:t xml:space="preserve">mai </w:t>
      </w:r>
      <w:r w:rsidR="00FA4E33">
        <w:rPr>
          <w:rFonts w:ascii="Calibri" w:hAnsi="Calibri" w:cs="Calibri"/>
          <w:bCs/>
          <w:sz w:val="20"/>
          <w:szCs w:val="20"/>
        </w:rPr>
        <w:t>puțin</w:t>
      </w:r>
      <w:r w:rsidRPr="00F12AB5">
        <w:rPr>
          <w:rFonts w:ascii="Calibri" w:hAnsi="Calibri" w:cs="Calibri"/>
          <w:bCs/>
          <w:sz w:val="20"/>
          <w:szCs w:val="20"/>
        </w:rPr>
        <w:t xml:space="preserve"> de 30% față de media Uniunii Europene.</w:t>
      </w:r>
    </w:p>
    <w:p w14:paraId="567A0C73" w14:textId="77777777" w:rsidR="003B59A3" w:rsidRPr="00F12AB5" w:rsidRDefault="003B59A3" w:rsidP="003B59A3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F12AB5">
        <w:rPr>
          <w:rFonts w:ascii="Calibri" w:hAnsi="Calibri" w:cs="Calibri"/>
          <w:bCs/>
          <w:sz w:val="20"/>
          <w:szCs w:val="20"/>
        </w:rPr>
        <w:t xml:space="preserve">Cea mai mică valoare a PIB-ului pe cap de locuitor, în anul 2021 a fost înregistrată de </w:t>
      </w:r>
      <w:r w:rsidRPr="00F12AB5">
        <w:rPr>
          <w:rFonts w:ascii="Calibri" w:hAnsi="Calibri" w:cs="Calibri"/>
          <w:b/>
          <w:bCs/>
          <w:sz w:val="20"/>
          <w:szCs w:val="20"/>
        </w:rPr>
        <w:t>Bulgaria</w:t>
      </w:r>
      <w:r w:rsidRPr="00F12AB5">
        <w:rPr>
          <w:rFonts w:ascii="Calibri" w:hAnsi="Calibri" w:cs="Calibri"/>
          <w:bCs/>
          <w:sz w:val="20"/>
          <w:szCs w:val="20"/>
        </w:rPr>
        <w:t>, cu 45</w:t>
      </w:r>
      <w:r w:rsidRPr="00F12AB5">
        <w:rPr>
          <w:rFonts w:ascii="Calibri" w:hAnsi="Calibri" w:cs="Calibri"/>
          <w:bCs/>
          <w:sz w:val="20"/>
          <w:szCs w:val="20"/>
          <w:lang w:val="en-US"/>
        </w:rPr>
        <w:t>% sub media UE.</w:t>
      </w:r>
    </w:p>
    <w:p w14:paraId="233C8B9E" w14:textId="77777777" w:rsidR="003B59A3" w:rsidRDefault="003B59A3" w:rsidP="003B59A3">
      <w:pPr>
        <w:numPr>
          <w:ilvl w:val="0"/>
          <w:numId w:val="17"/>
        </w:numPr>
        <w:jc w:val="both"/>
        <w:rPr>
          <w:rFonts w:ascii="Calibri" w:hAnsi="Calibri" w:cs="Calibri"/>
          <w:bCs/>
          <w:sz w:val="20"/>
          <w:szCs w:val="20"/>
        </w:rPr>
      </w:pPr>
      <w:r w:rsidRPr="00F12AB5">
        <w:rPr>
          <w:rFonts w:ascii="Calibri" w:hAnsi="Calibri" w:cs="Calibri"/>
          <w:bCs/>
          <w:sz w:val="20"/>
          <w:szCs w:val="20"/>
        </w:rPr>
        <w:t xml:space="preserve">Cel mai ridicat nivel al </w:t>
      </w:r>
      <w:r w:rsidRPr="00917A4B">
        <w:rPr>
          <w:rFonts w:ascii="Calibri" w:hAnsi="Calibri" w:cs="Calibri"/>
          <w:bCs/>
          <w:sz w:val="20"/>
          <w:szCs w:val="20"/>
        </w:rPr>
        <w:t>Produsului Intern Brut</w:t>
      </w:r>
      <w:r>
        <w:rPr>
          <w:rFonts w:ascii="Calibri" w:hAnsi="Calibri" w:cs="Calibri"/>
          <w:bCs/>
          <w:sz w:val="20"/>
          <w:szCs w:val="20"/>
        </w:rPr>
        <w:t xml:space="preserve"> (</w:t>
      </w:r>
      <w:r w:rsidRPr="00F12AB5">
        <w:rPr>
          <w:rFonts w:ascii="Calibri" w:hAnsi="Calibri" w:cs="Calibri"/>
          <w:bCs/>
          <w:sz w:val="20"/>
          <w:szCs w:val="20"/>
        </w:rPr>
        <w:t>PIB</w:t>
      </w:r>
      <w:r>
        <w:rPr>
          <w:rFonts w:ascii="Calibri" w:hAnsi="Calibri" w:cs="Calibri"/>
          <w:bCs/>
          <w:sz w:val="20"/>
          <w:szCs w:val="20"/>
        </w:rPr>
        <w:t>)</w:t>
      </w:r>
      <w:r w:rsidRPr="00F12AB5">
        <w:rPr>
          <w:rFonts w:ascii="Calibri" w:hAnsi="Calibri" w:cs="Calibri"/>
          <w:bCs/>
          <w:sz w:val="20"/>
          <w:szCs w:val="20"/>
        </w:rPr>
        <w:t xml:space="preserve"> pe cap de locuitor din Uniunea Europeană,  a fost înregistrat de </w:t>
      </w:r>
      <w:r w:rsidRPr="00F12AB5">
        <w:rPr>
          <w:rFonts w:ascii="Calibri" w:hAnsi="Calibri" w:cs="Calibri"/>
          <w:b/>
          <w:bCs/>
          <w:sz w:val="20"/>
          <w:szCs w:val="20"/>
        </w:rPr>
        <w:t>Luxemburg</w:t>
      </w:r>
      <w:r w:rsidRPr="00F12AB5">
        <w:rPr>
          <w:rFonts w:ascii="Calibri" w:hAnsi="Calibri" w:cs="Calibri"/>
          <w:bCs/>
          <w:sz w:val="20"/>
          <w:szCs w:val="20"/>
        </w:rPr>
        <w:t>, acesta depășind media UE cu 177%</w:t>
      </w:r>
      <w:r w:rsidRPr="00F12AB5">
        <w:rPr>
          <w:rFonts w:ascii="Calibri" w:hAnsi="Calibri" w:cs="Calibri"/>
          <w:bCs/>
          <w:sz w:val="20"/>
          <w:szCs w:val="20"/>
          <w:lang w:val="en-US"/>
        </w:rPr>
        <w:t xml:space="preserve">. </w:t>
      </w:r>
      <w:r w:rsidRPr="00F12AB5">
        <w:rPr>
          <w:rFonts w:ascii="Calibri" w:hAnsi="Calibri" w:cs="Calibri"/>
          <w:bCs/>
          <w:sz w:val="20"/>
          <w:szCs w:val="20"/>
        </w:rPr>
        <w:t>Acest lucru se explică parțial prin faptul că un număr mare de rezidenți străini au o pondere mare în forța de muncă totală a țării și deși nu fac parte din populația rezidentă, ace</w:t>
      </w:r>
      <w:r>
        <w:rPr>
          <w:rFonts w:ascii="Calibri" w:hAnsi="Calibri" w:cs="Calibri"/>
          <w:bCs/>
          <w:sz w:val="20"/>
          <w:szCs w:val="20"/>
        </w:rPr>
        <w:t>ș</w:t>
      </w:r>
      <w:r w:rsidRPr="00F12AB5">
        <w:rPr>
          <w:rFonts w:ascii="Calibri" w:hAnsi="Calibri" w:cs="Calibri"/>
          <w:bCs/>
          <w:sz w:val="20"/>
          <w:szCs w:val="20"/>
        </w:rPr>
        <w:t xml:space="preserve">tia contribuie la creșterea PIB-ului. </w:t>
      </w:r>
    </w:p>
    <w:p w14:paraId="64C4FF31" w14:textId="77777777" w:rsidR="003B59A3" w:rsidRPr="00F12AB5" w:rsidRDefault="003B59A3" w:rsidP="003B59A3">
      <w:pPr>
        <w:ind w:left="720"/>
        <w:jc w:val="both"/>
        <w:rPr>
          <w:rFonts w:ascii="Calibri" w:hAnsi="Calibri" w:cs="Calibri"/>
          <w:bCs/>
          <w:sz w:val="20"/>
          <w:szCs w:val="20"/>
        </w:rPr>
      </w:pPr>
    </w:p>
    <w:p w14:paraId="747EEFFC" w14:textId="77777777" w:rsidR="00472FC0" w:rsidRDefault="005F033F" w:rsidP="007064A2">
      <w:pPr>
        <w:tabs>
          <w:tab w:val="left" w:pos="695"/>
          <w:tab w:val="left" w:pos="1415"/>
          <w:tab w:val="left" w:pos="2135"/>
          <w:tab w:val="left" w:pos="2855"/>
          <w:tab w:val="left" w:pos="3575"/>
          <w:tab w:val="left" w:pos="4295"/>
          <w:tab w:val="left" w:pos="5015"/>
          <w:tab w:val="left" w:pos="5735"/>
          <w:tab w:val="left" w:pos="6455"/>
          <w:tab w:val="left" w:pos="7175"/>
          <w:tab w:val="left" w:pos="7895"/>
          <w:tab w:val="left" w:pos="8615"/>
        </w:tabs>
        <w:spacing w:before="60" w:after="60" w:line="320" w:lineRule="atLeast"/>
        <w:ind w:right="432"/>
        <w:rPr>
          <w:rFonts w:ascii="Calibri" w:hAnsi="Calibri" w:cs="Calibri"/>
          <w:b/>
          <w:sz w:val="20"/>
          <w:szCs w:val="20"/>
        </w:rPr>
      </w:pPr>
      <w:r w:rsidRPr="00F12AB5">
        <w:rPr>
          <w:rFonts w:ascii="Calibri" w:hAnsi="Calibri" w:cs="Calibri"/>
          <w:color w:val="000000"/>
          <w:sz w:val="20"/>
          <w:szCs w:val="20"/>
        </w:rPr>
        <w:t xml:space="preserve">  </w:t>
      </w:r>
      <w:r w:rsidR="00863FBC" w:rsidRPr="007064A2">
        <w:rPr>
          <w:rFonts w:ascii="Calibri" w:hAnsi="Calibri" w:cs="Calibri"/>
          <w:b/>
          <w:color w:val="000000"/>
          <w:sz w:val="20"/>
          <w:szCs w:val="20"/>
        </w:rPr>
        <w:t>Grafic 2:</w:t>
      </w:r>
      <w:r w:rsidR="00767F9C" w:rsidRPr="007064A2">
        <w:rPr>
          <w:rFonts w:ascii="Calibri" w:hAnsi="Calibri" w:cs="Calibri"/>
          <w:b/>
          <w:color w:val="000000"/>
          <w:sz w:val="20"/>
          <w:szCs w:val="20"/>
        </w:rPr>
        <w:t xml:space="preserve"> Indicii de volum ai PIB pe locuitor</w:t>
      </w:r>
      <w:r w:rsidR="0081601E" w:rsidRPr="007064A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767F9C" w:rsidRPr="007064A2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="00767F9C" w:rsidRPr="007064A2">
        <w:rPr>
          <w:rFonts w:ascii="Calibri" w:hAnsi="Calibri" w:cs="Calibri"/>
          <w:b/>
          <w:sz w:val="20"/>
          <w:szCs w:val="20"/>
        </w:rPr>
        <w:t xml:space="preserve">(UE- 27=100), </w:t>
      </w:r>
      <w:r w:rsidR="007064A2" w:rsidRPr="007064A2">
        <w:rPr>
          <w:rFonts w:ascii="Calibri" w:hAnsi="Calibri" w:cs="Calibri"/>
          <w:b/>
          <w:sz w:val="20"/>
          <w:szCs w:val="20"/>
        </w:rPr>
        <w:t>î</w:t>
      </w:r>
      <w:r w:rsidR="00767F9C" w:rsidRPr="007064A2">
        <w:rPr>
          <w:rFonts w:ascii="Calibri" w:hAnsi="Calibri" w:cs="Calibri"/>
          <w:b/>
          <w:sz w:val="20"/>
          <w:szCs w:val="20"/>
        </w:rPr>
        <w:t>n anul 2021</w:t>
      </w:r>
    </w:p>
    <w:p w14:paraId="44C99A0C" w14:textId="77777777" w:rsidR="00B93644" w:rsidRDefault="00C656E9" w:rsidP="007064A2">
      <w:pPr>
        <w:tabs>
          <w:tab w:val="left" w:pos="695"/>
          <w:tab w:val="left" w:pos="1415"/>
          <w:tab w:val="left" w:pos="2135"/>
          <w:tab w:val="left" w:pos="2855"/>
          <w:tab w:val="left" w:pos="3575"/>
          <w:tab w:val="left" w:pos="4295"/>
          <w:tab w:val="left" w:pos="5015"/>
          <w:tab w:val="left" w:pos="5735"/>
          <w:tab w:val="left" w:pos="6455"/>
          <w:tab w:val="left" w:pos="7175"/>
          <w:tab w:val="left" w:pos="7895"/>
          <w:tab w:val="left" w:pos="8615"/>
        </w:tabs>
        <w:spacing w:before="60" w:after="60" w:line="320" w:lineRule="atLeast"/>
        <w:ind w:right="432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5B8C6237" wp14:editId="33A0B1BF">
                <wp:extent cx="6477000" cy="3098800"/>
                <wp:effectExtent l="0" t="0" r="0" b="0"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309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71185" id="AutoShape 3" o:spid="_x0000_s1026" style="width:510pt;height:24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" filled="f" stroked="f">
                <v:path arrowok="t"/>
                <w10:anchorlock/>
              </v:rect>
            </w:pict>
          </mc:Fallback>
        </mc:AlternateContent>
      </w:r>
    </w:p>
    <w:p w14:paraId="05278FCF" w14:textId="77777777" w:rsidR="002C2EC9" w:rsidRPr="0042389B" w:rsidRDefault="00D5400D" w:rsidP="002C2EC9">
      <w:pPr>
        <w:rPr>
          <w:rFonts w:ascii="Calibri" w:hAnsi="Calibri" w:cs="Calibri"/>
          <w:b/>
          <w:color w:val="000000"/>
          <w:sz w:val="28"/>
          <w:szCs w:val="28"/>
          <w:u w:val="single"/>
        </w:rPr>
      </w:pPr>
      <w:r>
        <w:rPr>
          <w:rFonts w:ascii="Calibri" w:hAnsi="Calibri" w:cs="Calibri"/>
          <w:b/>
          <w:sz w:val="20"/>
          <w:szCs w:val="20"/>
        </w:rPr>
        <w:t xml:space="preserve"> </w:t>
      </w:r>
      <w:r w:rsidRPr="00AB52C1">
        <w:rPr>
          <w:rFonts w:ascii="Calibri" w:hAnsi="Calibri" w:cs="Calibri"/>
          <w:b/>
          <w:sz w:val="20"/>
          <w:szCs w:val="20"/>
        </w:rPr>
        <w:t>Sursa</w:t>
      </w:r>
      <w:r>
        <w:rPr>
          <w:rFonts w:ascii="Calibri" w:hAnsi="Calibri" w:cs="Calibri"/>
          <w:b/>
          <w:sz w:val="20"/>
          <w:szCs w:val="20"/>
        </w:rPr>
        <w:t xml:space="preserve"> datelor</w:t>
      </w:r>
      <w:r w:rsidR="00AB52C1" w:rsidRPr="00AB52C1">
        <w:rPr>
          <w:rFonts w:ascii="Calibri" w:hAnsi="Calibri" w:cs="Calibri"/>
          <w:b/>
          <w:sz w:val="20"/>
          <w:szCs w:val="20"/>
        </w:rPr>
        <w:t xml:space="preserve">: Eurostat </w:t>
      </w:r>
      <w:r w:rsidR="002C2EC9" w:rsidRPr="00AB52C1">
        <w:rPr>
          <w:rFonts w:ascii="Calibri" w:hAnsi="Calibri" w:cs="Calibri"/>
          <w:b/>
          <w:sz w:val="20"/>
          <w:szCs w:val="20"/>
        </w:rPr>
        <w:t>(</w:t>
      </w:r>
      <w:r w:rsidR="002C2EC9">
        <w:rPr>
          <w:rFonts w:ascii="Calibri" w:hAnsi="Calibri" w:cs="Calibri"/>
          <w:b/>
          <w:sz w:val="20"/>
          <w:szCs w:val="20"/>
        </w:rPr>
        <w:t xml:space="preserve">baza de </w:t>
      </w:r>
      <w:r w:rsidR="002C2EC9" w:rsidRPr="00AB52C1">
        <w:rPr>
          <w:rFonts w:ascii="Calibri" w:hAnsi="Calibri" w:cs="Calibri"/>
          <w:b/>
          <w:sz w:val="20"/>
          <w:szCs w:val="20"/>
        </w:rPr>
        <w:t>data online</w:t>
      </w:r>
      <w:r w:rsidR="002C2EC9">
        <w:rPr>
          <w:rFonts w:ascii="Calibri" w:hAnsi="Calibri" w:cs="Calibri"/>
          <w:b/>
          <w:sz w:val="20"/>
          <w:szCs w:val="20"/>
        </w:rPr>
        <w:t xml:space="preserve">, </w:t>
      </w:r>
      <w:r w:rsidR="002C2EC9" w:rsidRPr="00AB52C1">
        <w:rPr>
          <w:rFonts w:ascii="Calibri" w:hAnsi="Calibri" w:cs="Calibri"/>
          <w:b/>
          <w:sz w:val="20"/>
          <w:szCs w:val="20"/>
        </w:rPr>
        <w:t>cod: prc_ppp_ind)</w:t>
      </w:r>
    </w:p>
    <w:p w14:paraId="59C4BCAF" w14:textId="77777777" w:rsidR="0042389B" w:rsidRPr="00017BA9" w:rsidRDefault="0042389B" w:rsidP="0042389B">
      <w:pPr>
        <w:spacing w:after="120"/>
        <w:jc w:val="both"/>
        <w:rPr>
          <w:rFonts w:ascii="Calibri" w:hAnsi="Calibri" w:cs="Calibri"/>
          <w:color w:val="0000FF"/>
          <w:sz w:val="20"/>
          <w:szCs w:val="20"/>
        </w:rPr>
      </w:pPr>
      <w:r>
        <w:rPr>
          <w:rFonts w:ascii="Calibri" w:hAnsi="Calibri" w:cs="Calibri"/>
          <w:color w:val="0000FF"/>
          <w:sz w:val="20"/>
          <w:szCs w:val="20"/>
        </w:rPr>
        <w:t xml:space="preserve"> </w:t>
      </w:r>
      <w:r w:rsidRPr="00017BA9">
        <w:rPr>
          <w:rFonts w:ascii="Calibri" w:hAnsi="Calibri" w:cs="Calibri"/>
          <w:color w:val="0000FF"/>
          <w:sz w:val="20"/>
          <w:szCs w:val="20"/>
        </w:rPr>
        <w:t xml:space="preserve">Datele </w:t>
      </w:r>
      <w:r>
        <w:rPr>
          <w:rFonts w:ascii="Calibri" w:hAnsi="Calibri" w:cs="Calibri"/>
          <w:color w:val="0000FF"/>
          <w:sz w:val="20"/>
          <w:szCs w:val="20"/>
        </w:rPr>
        <w:t>grafic</w:t>
      </w:r>
      <w:r w:rsidRPr="00017BA9">
        <w:rPr>
          <w:rFonts w:ascii="Calibri" w:hAnsi="Calibri" w:cs="Calibri"/>
          <w:color w:val="0000FF"/>
          <w:sz w:val="20"/>
          <w:szCs w:val="20"/>
        </w:rPr>
        <w:t>ului în format xls</w:t>
      </w:r>
      <w:r>
        <w:rPr>
          <w:rFonts w:ascii="Calibri" w:hAnsi="Calibri" w:cs="Calibri"/>
          <w:color w:val="0000FF"/>
          <w:sz w:val="20"/>
          <w:szCs w:val="20"/>
        </w:rPr>
        <w:t>.</w:t>
      </w:r>
    </w:p>
    <w:p w14:paraId="6B876029" w14:textId="77777777" w:rsidR="002C2EC9" w:rsidRDefault="002C2EC9" w:rsidP="002C2EC9">
      <w:pPr>
        <w:jc w:val="both"/>
        <w:rPr>
          <w:rFonts w:ascii="Calibri" w:hAnsi="Calibri" w:cs="Calibri"/>
          <w:bCs/>
          <w:color w:val="000000"/>
          <w:sz w:val="22"/>
          <w:szCs w:val="22"/>
          <w:lang w:val="en-US"/>
        </w:rPr>
      </w:pPr>
    </w:p>
    <w:p w14:paraId="4380F5E3" w14:textId="77777777" w:rsidR="0007011B" w:rsidRDefault="0007011B" w:rsidP="00AB52C1">
      <w:pPr>
        <w:rPr>
          <w:rFonts w:ascii="Calibri" w:hAnsi="Calibri" w:cs="Calibri"/>
          <w:sz w:val="20"/>
          <w:szCs w:val="20"/>
        </w:rPr>
      </w:pPr>
    </w:p>
    <w:p w14:paraId="4565DC02" w14:textId="77777777" w:rsidR="004364BF" w:rsidRDefault="004364BF" w:rsidP="004364BF">
      <w:pPr>
        <w:shd w:val="clear" w:color="auto" w:fill="4F81BD"/>
        <w:tabs>
          <w:tab w:val="left" w:pos="0"/>
          <w:tab w:val="left" w:pos="1415"/>
          <w:tab w:val="left" w:pos="2135"/>
          <w:tab w:val="left" w:pos="2855"/>
          <w:tab w:val="left" w:pos="3575"/>
          <w:tab w:val="left" w:pos="4295"/>
          <w:tab w:val="left" w:pos="5015"/>
          <w:tab w:val="left" w:pos="5735"/>
          <w:tab w:val="left" w:pos="6455"/>
          <w:tab w:val="left" w:pos="7175"/>
          <w:tab w:val="left" w:pos="7895"/>
          <w:tab w:val="left" w:pos="8615"/>
        </w:tabs>
        <w:spacing w:before="60" w:after="60" w:line="320" w:lineRule="atLeast"/>
        <w:jc w:val="both"/>
        <w:rPr>
          <w:rFonts w:ascii="Calibri" w:hAnsi="Calibri" w:cs="Calibri"/>
          <w:b/>
          <w:color w:val="FFFFFF"/>
          <w:sz w:val="22"/>
          <w:szCs w:val="22"/>
        </w:rPr>
      </w:pPr>
    </w:p>
    <w:p w14:paraId="6FB60AB2" w14:textId="77777777" w:rsidR="004364BF" w:rsidRPr="004B7DA1" w:rsidRDefault="004364BF" w:rsidP="004364BF">
      <w:pPr>
        <w:shd w:val="clear" w:color="auto" w:fill="4F81BD"/>
        <w:tabs>
          <w:tab w:val="left" w:pos="0"/>
          <w:tab w:val="left" w:pos="1415"/>
          <w:tab w:val="left" w:pos="2135"/>
          <w:tab w:val="left" w:pos="2855"/>
          <w:tab w:val="left" w:pos="3575"/>
          <w:tab w:val="left" w:pos="4295"/>
          <w:tab w:val="left" w:pos="5015"/>
          <w:tab w:val="left" w:pos="5735"/>
          <w:tab w:val="left" w:pos="6455"/>
          <w:tab w:val="left" w:pos="7175"/>
          <w:tab w:val="left" w:pos="7895"/>
          <w:tab w:val="left" w:pos="8615"/>
        </w:tabs>
        <w:spacing w:before="60" w:after="60" w:line="320" w:lineRule="atLeast"/>
        <w:jc w:val="both"/>
        <w:rPr>
          <w:rFonts w:ascii="Calibri" w:hAnsi="Calibri" w:cs="Calibri"/>
          <w:b/>
          <w:color w:val="FFFFFF"/>
          <w:sz w:val="28"/>
          <w:szCs w:val="28"/>
        </w:rPr>
      </w:pPr>
      <w:r w:rsidRPr="004B7DA1">
        <w:rPr>
          <w:rFonts w:ascii="Calibri" w:hAnsi="Calibri" w:cs="Calibri"/>
          <w:b/>
          <w:color w:val="FFFFFF"/>
          <w:sz w:val="28"/>
          <w:szCs w:val="28"/>
        </w:rPr>
        <w:t>Informaţii suplimentare:</w:t>
      </w:r>
    </w:p>
    <w:p w14:paraId="35C543EE" w14:textId="77777777" w:rsidR="00C6428B" w:rsidRDefault="00C6428B" w:rsidP="004364BF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BCBBF46" w14:textId="77777777" w:rsidR="00A435E5" w:rsidRPr="00F12AB5" w:rsidRDefault="00C6428B" w:rsidP="001050F1">
      <w:pPr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b/>
          <w:sz w:val="20"/>
          <w:szCs w:val="20"/>
        </w:rPr>
        <w:t>Informații Geografice</w:t>
      </w:r>
      <w:r w:rsidRPr="00F12AB5">
        <w:rPr>
          <w:rFonts w:ascii="Calibri" w:hAnsi="Calibri" w:cs="Calibri"/>
          <w:b/>
          <w:sz w:val="20"/>
          <w:szCs w:val="20"/>
          <w:lang w:val="en-US"/>
        </w:rPr>
        <w:t>:</w:t>
      </w:r>
      <w:r w:rsidRPr="00F12AB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>Uniunea Europeană (UE-27) include:</w:t>
      </w:r>
      <w:r w:rsidR="00DC13DF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>Austria,</w:t>
      </w:r>
      <w:r w:rsidR="00DC13DF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>Belgia,</w:t>
      </w:r>
      <w:r w:rsidR="00DC13DF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>Bulgaria,</w:t>
      </w:r>
      <w:r w:rsidR="00DC13DF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 xml:space="preserve">Cehia, </w:t>
      </w:r>
      <w:r w:rsidR="00A435E5" w:rsidRPr="00F12AB5">
        <w:rPr>
          <w:rFonts w:ascii="Calibri" w:hAnsi="Calibri" w:cs="Calibri"/>
          <w:sz w:val="20"/>
          <w:szCs w:val="20"/>
        </w:rPr>
        <w:t xml:space="preserve">Cipru, Croația, </w:t>
      </w:r>
      <w:r w:rsidRPr="00F12AB5">
        <w:rPr>
          <w:rFonts w:ascii="Calibri" w:hAnsi="Calibri" w:cs="Calibri"/>
          <w:sz w:val="20"/>
          <w:szCs w:val="20"/>
        </w:rPr>
        <w:t xml:space="preserve">Danemarca, </w:t>
      </w:r>
      <w:r w:rsidR="00A435E5" w:rsidRPr="00F12AB5">
        <w:rPr>
          <w:rFonts w:ascii="Calibri" w:hAnsi="Calibri" w:cs="Calibri"/>
          <w:sz w:val="20"/>
          <w:szCs w:val="20"/>
        </w:rPr>
        <w:t xml:space="preserve">Estonia, Finlanda, Franța, </w:t>
      </w:r>
      <w:r w:rsidRPr="00F12AB5">
        <w:rPr>
          <w:rFonts w:ascii="Calibri" w:hAnsi="Calibri" w:cs="Calibri"/>
          <w:sz w:val="20"/>
          <w:szCs w:val="20"/>
        </w:rPr>
        <w:t>Germania,</w:t>
      </w:r>
      <w:r w:rsidR="00A435E5" w:rsidRPr="00F12AB5">
        <w:rPr>
          <w:rFonts w:ascii="Calibri" w:hAnsi="Calibri" w:cs="Calibri"/>
          <w:sz w:val="20"/>
          <w:szCs w:val="20"/>
        </w:rPr>
        <w:t xml:space="preserve"> Grecia</w:t>
      </w:r>
      <w:r w:rsidRPr="00F12AB5">
        <w:rPr>
          <w:rFonts w:ascii="Calibri" w:hAnsi="Calibri" w:cs="Calibri"/>
          <w:sz w:val="20"/>
          <w:szCs w:val="20"/>
        </w:rPr>
        <w:t xml:space="preserve">, Irlanda, Italia, Letonia, Lituania, Luxemburg, </w:t>
      </w:r>
      <w:r w:rsidR="00A435E5" w:rsidRPr="00F12AB5">
        <w:rPr>
          <w:rFonts w:ascii="Calibri" w:hAnsi="Calibri" w:cs="Calibri"/>
          <w:sz w:val="20"/>
          <w:szCs w:val="20"/>
        </w:rPr>
        <w:t>Malta, Oland</w:t>
      </w:r>
      <w:r w:rsidR="00DC13DF">
        <w:rPr>
          <w:rFonts w:ascii="Calibri" w:hAnsi="Calibri" w:cs="Calibri"/>
          <w:sz w:val="20"/>
          <w:szCs w:val="20"/>
        </w:rPr>
        <w:t>a</w:t>
      </w:r>
      <w:r w:rsidR="00A435E5" w:rsidRPr="00F12AB5">
        <w:rPr>
          <w:rFonts w:ascii="Calibri" w:hAnsi="Calibri" w:cs="Calibri"/>
          <w:sz w:val="20"/>
          <w:szCs w:val="20"/>
        </w:rPr>
        <w:t xml:space="preserve">, Polonia, Portugalia, România, Slovacia , Slovenia, Spania, Suedia, </w:t>
      </w:r>
      <w:r w:rsidRPr="00F12AB5">
        <w:rPr>
          <w:rFonts w:ascii="Calibri" w:hAnsi="Calibri" w:cs="Calibri"/>
          <w:sz w:val="20"/>
          <w:szCs w:val="20"/>
        </w:rPr>
        <w:t>Ungaria</w:t>
      </w:r>
      <w:r w:rsidR="00A435E5" w:rsidRPr="00F12AB5">
        <w:rPr>
          <w:rFonts w:ascii="Calibri" w:hAnsi="Calibri" w:cs="Calibri"/>
          <w:sz w:val="20"/>
          <w:szCs w:val="20"/>
        </w:rPr>
        <w:t>.</w:t>
      </w:r>
    </w:p>
    <w:p w14:paraId="0275DB04" w14:textId="77777777" w:rsidR="00343678" w:rsidRPr="00F12AB5" w:rsidRDefault="00C6428B" w:rsidP="001050F1">
      <w:pPr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>Regatul Unit a părăsit UE la 31 ianuarie 2020</w:t>
      </w:r>
      <w:r w:rsidR="0028006B" w:rsidRPr="00F12AB5">
        <w:rPr>
          <w:rFonts w:ascii="Calibri" w:hAnsi="Calibri" w:cs="Calibri"/>
          <w:sz w:val="20"/>
          <w:szCs w:val="20"/>
        </w:rPr>
        <w:t>.</w:t>
      </w:r>
    </w:p>
    <w:p w14:paraId="7E5FE238" w14:textId="77777777" w:rsidR="00B86A25" w:rsidRPr="00F12AB5" w:rsidRDefault="00B86A25" w:rsidP="001050F1">
      <w:pPr>
        <w:jc w:val="both"/>
        <w:rPr>
          <w:rFonts w:ascii="Calibri" w:hAnsi="Calibri" w:cs="Calibri"/>
          <w:sz w:val="20"/>
          <w:szCs w:val="20"/>
        </w:rPr>
      </w:pPr>
    </w:p>
    <w:p w14:paraId="3F768046" w14:textId="77777777" w:rsidR="00DF6948" w:rsidRDefault="00B86A25" w:rsidP="001050F1">
      <w:pPr>
        <w:jc w:val="both"/>
        <w:rPr>
          <w:rFonts w:ascii="Calibri" w:hAnsi="Calibri" w:cs="Calibri"/>
          <w:sz w:val="20"/>
          <w:szCs w:val="20"/>
        </w:rPr>
      </w:pPr>
      <w:r w:rsidRPr="003B59A3">
        <w:rPr>
          <w:rFonts w:ascii="Calibri" w:hAnsi="Calibri" w:cs="Calibri"/>
          <w:sz w:val="20"/>
          <w:szCs w:val="20"/>
        </w:rPr>
        <w:t>Rezultatele se bazează pe anchete de colectare a prețurilor</w:t>
      </w:r>
      <w:r w:rsidR="0080240D" w:rsidRPr="003B59A3">
        <w:rPr>
          <w:rFonts w:ascii="Calibri" w:hAnsi="Calibri" w:cs="Calibri"/>
          <w:sz w:val="20"/>
          <w:szCs w:val="20"/>
        </w:rPr>
        <w:t xml:space="preserve"> de consum</w:t>
      </w:r>
      <w:r w:rsidRPr="003B59A3">
        <w:rPr>
          <w:rFonts w:ascii="Calibri" w:hAnsi="Calibri" w:cs="Calibri"/>
          <w:sz w:val="20"/>
          <w:szCs w:val="20"/>
        </w:rPr>
        <w:t xml:space="preserve">  </w:t>
      </w:r>
      <w:r w:rsidR="00DF6948">
        <w:rPr>
          <w:rFonts w:ascii="Calibri" w:hAnsi="Calibri" w:cs="Calibri"/>
          <w:sz w:val="20"/>
          <w:szCs w:val="20"/>
        </w:rPr>
        <w:t>ce utilizează</w:t>
      </w:r>
      <w:r w:rsidR="0080240D" w:rsidRPr="003B59A3">
        <w:rPr>
          <w:rFonts w:ascii="Calibri" w:hAnsi="Calibri" w:cs="Calibri"/>
          <w:sz w:val="20"/>
          <w:szCs w:val="20"/>
        </w:rPr>
        <w:t xml:space="preserve"> </w:t>
      </w:r>
      <w:r w:rsidR="001025A0" w:rsidRPr="003B59A3">
        <w:rPr>
          <w:rFonts w:ascii="Calibri" w:hAnsi="Calibri" w:cs="Calibri"/>
          <w:sz w:val="20"/>
          <w:szCs w:val="20"/>
        </w:rPr>
        <w:t xml:space="preserve"> un nomenclator comun </w:t>
      </w:r>
      <w:r w:rsidR="0080240D" w:rsidRPr="003B59A3">
        <w:rPr>
          <w:rFonts w:ascii="Calibri" w:hAnsi="Calibri" w:cs="Calibri"/>
          <w:sz w:val="20"/>
          <w:szCs w:val="20"/>
        </w:rPr>
        <w:t>de mărfuri şi servicii comparabile, selectate ca reprezentative pentru modelele de consum din cele 36 de țări europene care participă la programul Eurostat – OCDE privind Paritățile Puterii de Cumpărare (PPC</w:t>
      </w:r>
      <w:r w:rsidR="001025A0" w:rsidRPr="003B59A3">
        <w:rPr>
          <w:rFonts w:ascii="Calibri" w:hAnsi="Calibri" w:cs="Calibri"/>
          <w:sz w:val="20"/>
          <w:szCs w:val="20"/>
        </w:rPr>
        <w:t>).</w:t>
      </w:r>
      <w:r w:rsidR="0080240D">
        <w:t xml:space="preserve"> </w:t>
      </w:r>
      <w:r w:rsidR="0080240D" w:rsidRPr="00F12AB5">
        <w:rPr>
          <w:rFonts w:ascii="Calibri" w:hAnsi="Calibri" w:cs="Calibri"/>
          <w:sz w:val="20"/>
          <w:szCs w:val="20"/>
        </w:rPr>
        <w:t xml:space="preserve">Grupul de țări participante include cele 27 de state membre ale Uniunii Europene, trei țări membre ale </w:t>
      </w:r>
      <w:r w:rsidR="0080240D" w:rsidRPr="00751688">
        <w:rPr>
          <w:rFonts w:ascii="Calibri" w:hAnsi="Calibri" w:cs="Calibri"/>
          <w:sz w:val="20"/>
          <w:szCs w:val="20"/>
        </w:rPr>
        <w:t>Asociați</w:t>
      </w:r>
      <w:r w:rsidR="0080240D">
        <w:rPr>
          <w:rFonts w:ascii="Calibri" w:hAnsi="Calibri" w:cs="Calibri"/>
          <w:sz w:val="20"/>
          <w:szCs w:val="20"/>
        </w:rPr>
        <w:t>ei</w:t>
      </w:r>
      <w:r w:rsidR="0080240D" w:rsidRPr="00751688">
        <w:rPr>
          <w:rFonts w:ascii="Calibri" w:hAnsi="Calibri" w:cs="Calibri"/>
          <w:sz w:val="20"/>
          <w:szCs w:val="20"/>
        </w:rPr>
        <w:t xml:space="preserve"> Europe</w:t>
      </w:r>
      <w:r w:rsidR="0080240D">
        <w:rPr>
          <w:rFonts w:ascii="Calibri" w:hAnsi="Calibri" w:cs="Calibri"/>
          <w:sz w:val="20"/>
          <w:szCs w:val="20"/>
        </w:rPr>
        <w:t>ne</w:t>
      </w:r>
      <w:r w:rsidR="0080240D" w:rsidRPr="00751688">
        <w:rPr>
          <w:rFonts w:ascii="Calibri" w:hAnsi="Calibri" w:cs="Calibri"/>
          <w:sz w:val="20"/>
          <w:szCs w:val="20"/>
        </w:rPr>
        <w:t xml:space="preserve"> a Liberului Schimb</w:t>
      </w:r>
      <w:r w:rsidR="0080240D" w:rsidRPr="00F12AB5">
        <w:rPr>
          <w:rFonts w:ascii="Calibri" w:hAnsi="Calibri" w:cs="Calibri"/>
          <w:sz w:val="20"/>
          <w:szCs w:val="20"/>
        </w:rPr>
        <w:t xml:space="preserve"> (Islanda, Norvegia și Elveția), cinci țări </w:t>
      </w:r>
      <w:hyperlink r:id="rId10" w:history="1">
        <w:r w:rsidR="0080240D" w:rsidRPr="00F12AB5">
          <w:rPr>
            <w:rFonts w:ascii="Calibri" w:hAnsi="Calibri" w:cs="Calibri"/>
            <w:sz w:val="20"/>
            <w:szCs w:val="20"/>
          </w:rPr>
          <w:t>candidate</w:t>
        </w:r>
      </w:hyperlink>
      <w:r w:rsidR="0080240D" w:rsidRPr="00F12AB5">
        <w:rPr>
          <w:rFonts w:ascii="Calibri" w:hAnsi="Calibri" w:cs="Calibri"/>
          <w:sz w:val="20"/>
          <w:szCs w:val="20"/>
        </w:rPr>
        <w:t xml:space="preserve"> (Albania, Muntenegru, Macedonia de Nord, Serbia și Turcia) și o </w:t>
      </w:r>
      <w:hyperlink r:id="rId11" w:history="1">
        <w:r w:rsidR="0080240D" w:rsidRPr="00F12AB5">
          <w:rPr>
            <w:rFonts w:ascii="Calibri" w:hAnsi="Calibri" w:cs="Calibri"/>
            <w:sz w:val="20"/>
            <w:szCs w:val="20"/>
          </w:rPr>
          <w:t>țară potențial candidată</w:t>
        </w:r>
      </w:hyperlink>
      <w:r w:rsidR="0080240D" w:rsidRPr="00F12AB5">
        <w:rPr>
          <w:rFonts w:ascii="Calibri" w:hAnsi="Calibri" w:cs="Calibri"/>
          <w:sz w:val="20"/>
          <w:szCs w:val="20"/>
        </w:rPr>
        <w:t xml:space="preserve"> (Bosnia și Herțegovina)</w:t>
      </w:r>
      <w:r w:rsidR="004B71CD">
        <w:rPr>
          <w:rFonts w:ascii="Calibri" w:hAnsi="Calibri" w:cs="Calibri"/>
          <w:sz w:val="20"/>
          <w:szCs w:val="20"/>
        </w:rPr>
        <w:t xml:space="preserve"> </w:t>
      </w:r>
    </w:p>
    <w:p w14:paraId="4023C6A3" w14:textId="77777777" w:rsidR="00DF6948" w:rsidRDefault="00DF6948" w:rsidP="001050F1">
      <w:pPr>
        <w:jc w:val="both"/>
        <w:rPr>
          <w:rFonts w:ascii="Calibri" w:hAnsi="Calibri" w:cs="Calibri"/>
          <w:b/>
          <w:sz w:val="20"/>
          <w:szCs w:val="20"/>
          <w:lang w:val="en-US"/>
        </w:rPr>
      </w:pPr>
    </w:p>
    <w:p w14:paraId="37882073" w14:textId="77777777" w:rsidR="00A17460" w:rsidRPr="00F12AB5" w:rsidRDefault="00103D40" w:rsidP="001050F1">
      <w:pPr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b/>
          <w:sz w:val="20"/>
          <w:szCs w:val="20"/>
          <w:lang w:val="en-US"/>
        </w:rPr>
        <w:t>Paritatea Puterii de Cumpărare</w:t>
      </w:r>
      <w:r w:rsidR="00A17460" w:rsidRPr="00F12AB5">
        <w:rPr>
          <w:rFonts w:ascii="Calibri" w:hAnsi="Calibri" w:cs="Calibri"/>
          <w:b/>
          <w:sz w:val="20"/>
          <w:szCs w:val="20"/>
          <w:lang w:val="en-US"/>
        </w:rPr>
        <w:t xml:space="preserve"> </w:t>
      </w:r>
      <w:r w:rsidRPr="00F12AB5">
        <w:rPr>
          <w:rFonts w:ascii="Calibri" w:hAnsi="Calibri" w:cs="Calibri"/>
          <w:b/>
          <w:sz w:val="20"/>
          <w:szCs w:val="20"/>
          <w:lang w:val="en-US"/>
        </w:rPr>
        <w:t>(PPC)</w:t>
      </w:r>
      <w:r w:rsidR="00F46865" w:rsidRPr="00F12AB5">
        <w:rPr>
          <w:rFonts w:ascii="Calibri" w:hAnsi="Calibri" w:cs="Calibri"/>
          <w:sz w:val="20"/>
          <w:szCs w:val="20"/>
          <w:lang w:val="en-US"/>
        </w:rPr>
        <w:t xml:space="preserve"> </w:t>
      </w:r>
      <w:r w:rsidRPr="00F12AB5">
        <w:rPr>
          <w:rFonts w:ascii="Calibri" w:hAnsi="Calibri" w:cs="Calibri"/>
          <w:sz w:val="20"/>
          <w:szCs w:val="20"/>
          <w:lang w:val="en-US"/>
        </w:rPr>
        <w:t>exprim</w:t>
      </w:r>
      <w:r w:rsidRPr="00F12AB5">
        <w:rPr>
          <w:rFonts w:ascii="Calibri" w:hAnsi="Calibri" w:cs="Calibri"/>
          <w:sz w:val="20"/>
          <w:szCs w:val="20"/>
        </w:rPr>
        <w:t xml:space="preserve">ă numărul de unități de valută necesare pentru cumpărarea într-o țară </w:t>
      </w:r>
      <w:r w:rsidR="00DC13DF">
        <w:rPr>
          <w:rFonts w:ascii="Calibri" w:hAnsi="Calibri" w:cs="Calibri"/>
          <w:sz w:val="20"/>
          <w:szCs w:val="20"/>
        </w:rPr>
        <w:t xml:space="preserve">                         </w:t>
      </w:r>
      <w:r w:rsidRPr="00F12AB5">
        <w:rPr>
          <w:rFonts w:ascii="Calibri" w:hAnsi="Calibri" w:cs="Calibri"/>
          <w:sz w:val="20"/>
          <w:szCs w:val="20"/>
        </w:rPr>
        <w:t>a</w:t>
      </w:r>
      <w:r w:rsidR="00DC13DF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sz w:val="20"/>
          <w:szCs w:val="20"/>
        </w:rPr>
        <w:t>aceluiași volum de bunuri și servicii care se poate obține cu o unitate monetară a țării bază de comparare. PPC exprimă raportul între prețurile practicate în condițiile pieței interne a fiecărei țări.</w:t>
      </w:r>
    </w:p>
    <w:p w14:paraId="7C51AF52" w14:textId="77777777" w:rsidR="00343678" w:rsidRPr="00F12AB5" w:rsidRDefault="00343678" w:rsidP="001050F1">
      <w:pPr>
        <w:jc w:val="both"/>
        <w:rPr>
          <w:rFonts w:ascii="Calibri" w:hAnsi="Calibri" w:cs="Calibri"/>
          <w:sz w:val="20"/>
          <w:szCs w:val="20"/>
        </w:rPr>
      </w:pPr>
    </w:p>
    <w:p w14:paraId="64BFCAEF" w14:textId="77777777" w:rsidR="00245E37" w:rsidRPr="00F12AB5" w:rsidRDefault="00245E37" w:rsidP="001050F1">
      <w:pPr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b/>
          <w:sz w:val="20"/>
          <w:szCs w:val="20"/>
        </w:rPr>
        <w:t xml:space="preserve">Indicele nivelului prețurilor (INP) </w:t>
      </w:r>
      <w:r w:rsidRPr="00F12AB5">
        <w:rPr>
          <w:rFonts w:ascii="Calibri" w:hAnsi="Calibri" w:cs="Calibri"/>
          <w:sz w:val="20"/>
          <w:szCs w:val="20"/>
        </w:rPr>
        <w:t>reprezintă raportul dintre Paritatea Puterii de Cumpărare (PPC) și cursul de schimb oficial; exprimă câte unități din aceeași valută sunt necesare pentru a cumpăra un volum identic de bunuri și servicii în țări diferite.</w:t>
      </w:r>
    </w:p>
    <w:p w14:paraId="2CD90D44" w14:textId="77777777" w:rsidR="00245E37" w:rsidRPr="00F12AB5" w:rsidRDefault="00245E37" w:rsidP="001050F1">
      <w:pPr>
        <w:jc w:val="both"/>
        <w:rPr>
          <w:rFonts w:ascii="Calibri" w:hAnsi="Calibri" w:cs="Calibri"/>
          <w:sz w:val="20"/>
          <w:szCs w:val="20"/>
        </w:rPr>
      </w:pPr>
    </w:p>
    <w:p w14:paraId="1DDEA666" w14:textId="77777777" w:rsidR="00F46865" w:rsidRPr="00F12AB5" w:rsidRDefault="00F46865" w:rsidP="001050F1">
      <w:pPr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b/>
          <w:sz w:val="20"/>
          <w:szCs w:val="20"/>
        </w:rPr>
        <w:t xml:space="preserve">Consumul </w:t>
      </w:r>
      <w:r w:rsidR="00245E37" w:rsidRPr="00F12AB5">
        <w:rPr>
          <w:rFonts w:ascii="Calibri" w:hAnsi="Calibri" w:cs="Calibri"/>
          <w:b/>
          <w:sz w:val="20"/>
          <w:szCs w:val="20"/>
        </w:rPr>
        <w:t>final</w:t>
      </w:r>
      <w:r w:rsidRPr="00F12AB5">
        <w:rPr>
          <w:rFonts w:ascii="Calibri" w:hAnsi="Calibri" w:cs="Calibri"/>
          <w:b/>
          <w:sz w:val="20"/>
          <w:szCs w:val="20"/>
        </w:rPr>
        <w:t xml:space="preserve"> al </w:t>
      </w:r>
      <w:r w:rsidR="00BD256D" w:rsidRPr="00F12AB5">
        <w:rPr>
          <w:rFonts w:ascii="Calibri" w:hAnsi="Calibri" w:cs="Calibri"/>
          <w:b/>
          <w:sz w:val="20"/>
          <w:szCs w:val="20"/>
        </w:rPr>
        <w:t xml:space="preserve">gospodăriilor </w:t>
      </w:r>
      <w:r w:rsidR="0028006B" w:rsidRPr="00F12AB5">
        <w:rPr>
          <w:rFonts w:ascii="Calibri" w:hAnsi="Calibri" w:cs="Calibri"/>
          <w:b/>
          <w:sz w:val="20"/>
          <w:szCs w:val="20"/>
        </w:rPr>
        <w:t xml:space="preserve">populației </w:t>
      </w:r>
      <w:r w:rsidR="00C2448A" w:rsidRPr="00F12AB5">
        <w:rPr>
          <w:rFonts w:ascii="Calibri" w:hAnsi="Calibri" w:cs="Calibri"/>
          <w:sz w:val="20"/>
          <w:szCs w:val="20"/>
        </w:rPr>
        <w:t>însu</w:t>
      </w:r>
      <w:r w:rsidR="00C2448A" w:rsidRPr="00F12AB5">
        <w:rPr>
          <w:rFonts w:ascii="Calibri" w:hAnsi="Calibri" w:cs="Calibri"/>
          <w:sz w:val="20"/>
          <w:szCs w:val="20"/>
        </w:rPr>
        <w:softHyphen/>
        <w:t>mează toate bunurile şi serviciile utili</w:t>
      </w:r>
      <w:r w:rsidR="00C2448A" w:rsidRPr="00F12AB5">
        <w:rPr>
          <w:rFonts w:ascii="Calibri" w:hAnsi="Calibri" w:cs="Calibri"/>
          <w:sz w:val="20"/>
          <w:szCs w:val="20"/>
        </w:rPr>
        <w:softHyphen/>
        <w:t>zate pentru satis</w:t>
      </w:r>
      <w:r w:rsidR="00C2448A" w:rsidRPr="00F12AB5">
        <w:rPr>
          <w:rFonts w:ascii="Calibri" w:hAnsi="Calibri" w:cs="Calibri"/>
          <w:sz w:val="20"/>
          <w:szCs w:val="20"/>
        </w:rPr>
        <w:softHyphen/>
        <w:t xml:space="preserve">facerea directă a </w:t>
      </w:r>
      <w:r w:rsidR="00BD6C8D">
        <w:rPr>
          <w:rFonts w:ascii="Calibri" w:hAnsi="Calibri" w:cs="Calibri"/>
          <w:sz w:val="20"/>
          <w:szCs w:val="20"/>
        </w:rPr>
        <w:t xml:space="preserve">         </w:t>
      </w:r>
      <w:r w:rsidR="00C2448A" w:rsidRPr="00F12AB5">
        <w:rPr>
          <w:rFonts w:ascii="Calibri" w:hAnsi="Calibri" w:cs="Calibri"/>
          <w:sz w:val="20"/>
          <w:szCs w:val="20"/>
        </w:rPr>
        <w:t>ne</w:t>
      </w:r>
      <w:r w:rsidR="00C2448A" w:rsidRPr="00F12AB5">
        <w:rPr>
          <w:rFonts w:ascii="Calibri" w:hAnsi="Calibri" w:cs="Calibri"/>
          <w:sz w:val="20"/>
          <w:szCs w:val="20"/>
        </w:rPr>
        <w:softHyphen/>
        <w:t>voilor indi</w:t>
      </w:r>
      <w:r w:rsidR="00C2448A" w:rsidRPr="00F12AB5">
        <w:rPr>
          <w:rFonts w:ascii="Calibri" w:hAnsi="Calibri" w:cs="Calibri"/>
          <w:sz w:val="20"/>
          <w:szCs w:val="20"/>
        </w:rPr>
        <w:softHyphen/>
        <w:t>vi</w:t>
      </w:r>
      <w:r w:rsidR="00C2448A" w:rsidRPr="00F12AB5">
        <w:rPr>
          <w:rFonts w:ascii="Calibri" w:hAnsi="Calibri" w:cs="Calibri"/>
          <w:sz w:val="20"/>
          <w:szCs w:val="20"/>
        </w:rPr>
        <w:softHyphen/>
        <w:t>duale ale gospodăriilor rezidente.</w:t>
      </w:r>
    </w:p>
    <w:p w14:paraId="01A24F7B" w14:textId="77777777" w:rsidR="00245E37" w:rsidRPr="00F12AB5" w:rsidRDefault="00245E37" w:rsidP="001050F1">
      <w:pPr>
        <w:jc w:val="both"/>
        <w:rPr>
          <w:rFonts w:ascii="Calibri" w:hAnsi="Calibri" w:cs="Calibri"/>
          <w:b/>
          <w:sz w:val="20"/>
          <w:szCs w:val="20"/>
        </w:rPr>
      </w:pPr>
    </w:p>
    <w:p w14:paraId="4ACFCC8B" w14:textId="77777777" w:rsidR="00245E37" w:rsidRPr="00F12AB5" w:rsidRDefault="00245E37" w:rsidP="001050F1">
      <w:pPr>
        <w:jc w:val="both"/>
        <w:rPr>
          <w:rFonts w:ascii="Calibri" w:hAnsi="Calibri" w:cs="Calibri"/>
          <w:sz w:val="20"/>
          <w:szCs w:val="20"/>
          <w:lang w:val="en-US"/>
        </w:rPr>
      </w:pPr>
      <w:r w:rsidRPr="00F12AB5">
        <w:rPr>
          <w:rFonts w:ascii="Calibri" w:hAnsi="Calibri" w:cs="Calibri"/>
          <w:b/>
          <w:sz w:val="20"/>
          <w:szCs w:val="20"/>
        </w:rPr>
        <w:t>Indicele de volum</w:t>
      </w:r>
      <w:r w:rsidRPr="00F12AB5">
        <w:rPr>
          <w:rFonts w:ascii="Calibri" w:hAnsi="Calibri" w:cs="Calibri"/>
          <w:sz w:val="20"/>
          <w:szCs w:val="20"/>
        </w:rPr>
        <w:t xml:space="preserve"> </w:t>
      </w:r>
      <w:r w:rsidRPr="00F12AB5">
        <w:rPr>
          <w:rFonts w:ascii="Calibri" w:hAnsi="Calibri" w:cs="Calibri"/>
          <w:b/>
          <w:sz w:val="20"/>
          <w:szCs w:val="20"/>
        </w:rPr>
        <w:t xml:space="preserve">(INV) </w:t>
      </w:r>
      <w:r w:rsidRPr="00F12AB5">
        <w:rPr>
          <w:rFonts w:ascii="Calibri" w:hAnsi="Calibri" w:cs="Calibri"/>
          <w:sz w:val="20"/>
          <w:szCs w:val="20"/>
        </w:rPr>
        <w:t xml:space="preserve">reprezintă raportul dintre fiecare agregat de cheltuieli PIB convertit într-o valută unică de comparare cu ajutorul </w:t>
      </w:r>
      <w:r w:rsidRPr="00F12AB5">
        <w:rPr>
          <w:rFonts w:ascii="Calibri" w:hAnsi="Calibri" w:cs="Calibri"/>
          <w:sz w:val="20"/>
          <w:szCs w:val="20"/>
          <w:lang w:val="en-US"/>
        </w:rPr>
        <w:t>Parității Puterii de Cumpărare (PPC) al unei țări și același indicator al țării bază de comparare.</w:t>
      </w:r>
    </w:p>
    <w:p w14:paraId="20E6C671" w14:textId="77777777" w:rsidR="00C6428B" w:rsidRPr="00F12AB5" w:rsidRDefault="00C6428B" w:rsidP="001050F1">
      <w:pPr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057A91A" w14:textId="77777777" w:rsidR="00767F9C" w:rsidRPr="00F12AB5" w:rsidRDefault="00767F9C" w:rsidP="00767F9C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>Paritățile Puterii de Cumpărare sunt calculate pe baza Regulamentului (CE) nr. 1445/2007 al Parlamentului European și al Consiliului, din 11 decembrie 2007 de stabilire a unor norme comune pentru furnizarea de informații de bază privind paritățile puterii de cumpărare pentru calculul și diseminarea acestora.</w:t>
      </w:r>
    </w:p>
    <w:p w14:paraId="4DFF324C" w14:textId="77777777" w:rsidR="00767F9C" w:rsidRPr="00F12AB5" w:rsidRDefault="00767F9C" w:rsidP="001050F1">
      <w:pPr>
        <w:jc w:val="both"/>
        <w:rPr>
          <w:rFonts w:ascii="Calibri" w:hAnsi="Calibri" w:cs="Calibri"/>
          <w:sz w:val="20"/>
          <w:szCs w:val="20"/>
          <w:highlight w:val="yellow"/>
        </w:rPr>
      </w:pPr>
    </w:p>
    <w:p w14:paraId="52395E02" w14:textId="77777777" w:rsidR="0028006B" w:rsidRPr="00F12AB5" w:rsidRDefault="004364BF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 xml:space="preserve">Pentru interpretarea corectă a indicatorilor, vă rugăm să consultaţi </w:t>
      </w:r>
      <w:r w:rsidR="009659F1" w:rsidRPr="00F12AB5">
        <w:rPr>
          <w:rFonts w:ascii="Calibri" w:hAnsi="Calibri" w:cs="Calibri"/>
          <w:sz w:val="20"/>
          <w:szCs w:val="20"/>
        </w:rPr>
        <w:t>Manualul Eurostat- OCDE privind Paritatea Puterii de Cumpărare:</w:t>
      </w:r>
      <w:r w:rsidR="009659F1" w:rsidRPr="00F12AB5">
        <w:rPr>
          <w:rFonts w:ascii="Calibri" w:hAnsi="Calibri" w:cs="Calibri"/>
          <w:color w:val="0000FF"/>
          <w:sz w:val="20"/>
          <w:szCs w:val="20"/>
        </w:rPr>
        <w:t xml:space="preserve"> </w:t>
      </w:r>
      <w:hyperlink r:id="rId12" w:history="1">
        <w:r w:rsidR="009659F1" w:rsidRPr="00F12AB5">
          <w:rPr>
            <w:rStyle w:val="Hyperlink"/>
            <w:rFonts w:ascii="Calibri" w:hAnsi="Calibri" w:cs="Calibri"/>
            <w:sz w:val="20"/>
            <w:szCs w:val="20"/>
          </w:rPr>
          <w:t>https://ec.europa.eu/eurostat/web/purchasing-pow</w:t>
        </w:r>
        <w:r w:rsidR="009659F1" w:rsidRPr="00F12AB5">
          <w:rPr>
            <w:rStyle w:val="Hyperlink"/>
            <w:rFonts w:ascii="Calibri" w:hAnsi="Calibri" w:cs="Calibri"/>
            <w:sz w:val="20"/>
            <w:szCs w:val="20"/>
          </w:rPr>
          <w:t>e</w:t>
        </w:r>
        <w:r w:rsidR="009659F1" w:rsidRPr="00F12AB5">
          <w:rPr>
            <w:rStyle w:val="Hyperlink"/>
            <w:rFonts w:ascii="Calibri" w:hAnsi="Calibri" w:cs="Calibri"/>
            <w:sz w:val="20"/>
            <w:szCs w:val="20"/>
          </w:rPr>
          <w:t>r-parities/methodology</w:t>
        </w:r>
      </w:hyperlink>
      <w:r w:rsidR="009659F1" w:rsidRPr="00F12AB5"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9659F1" w:rsidRPr="00F12AB5">
        <w:rPr>
          <w:rFonts w:ascii="Calibri" w:hAnsi="Calibri" w:cs="Calibri"/>
          <w:sz w:val="20"/>
          <w:szCs w:val="20"/>
        </w:rPr>
        <w:t>și</w:t>
      </w:r>
      <w:r w:rsidR="009659F1" w:rsidRPr="00F12AB5">
        <w:rPr>
          <w:rFonts w:ascii="Calibri" w:hAnsi="Calibri" w:cs="Calibri"/>
          <w:color w:val="0000FF"/>
          <w:sz w:val="20"/>
          <w:szCs w:val="20"/>
        </w:rPr>
        <w:t xml:space="preserve"> </w:t>
      </w:r>
      <w:r w:rsidR="009659F1" w:rsidRPr="00F12AB5">
        <w:rPr>
          <w:rFonts w:ascii="Calibri" w:hAnsi="Calibri" w:cs="Calibri"/>
          <w:sz w:val="20"/>
          <w:szCs w:val="20"/>
        </w:rPr>
        <w:t>secți</w:t>
      </w:r>
      <w:r w:rsidR="00F9642C">
        <w:rPr>
          <w:rFonts w:ascii="Calibri" w:hAnsi="Calibri" w:cs="Calibri"/>
          <w:sz w:val="20"/>
          <w:szCs w:val="20"/>
        </w:rPr>
        <w:t>u</w:t>
      </w:r>
      <w:r w:rsidR="009659F1" w:rsidRPr="00F12AB5">
        <w:rPr>
          <w:rFonts w:ascii="Calibri" w:hAnsi="Calibri" w:cs="Calibri"/>
          <w:sz w:val="20"/>
          <w:szCs w:val="20"/>
        </w:rPr>
        <w:t>nea de Metadate pentru Paritatea Puterii de Cumpărare (ESMS metadata file – prc_ppp_esms), disponibilă pe site</w:t>
      </w:r>
      <w:r w:rsidR="00F9642C">
        <w:rPr>
          <w:rFonts w:ascii="Calibri" w:hAnsi="Calibri" w:cs="Calibri"/>
          <w:sz w:val="20"/>
          <w:szCs w:val="20"/>
        </w:rPr>
        <w:t>-</w:t>
      </w:r>
      <w:r w:rsidR="009659F1" w:rsidRPr="00F12AB5">
        <w:rPr>
          <w:rFonts w:ascii="Calibri" w:hAnsi="Calibri" w:cs="Calibri"/>
          <w:sz w:val="20"/>
          <w:szCs w:val="20"/>
        </w:rPr>
        <w:t>ul Eurostat.</w:t>
      </w:r>
    </w:p>
    <w:p w14:paraId="7DD848BE" w14:textId="77777777" w:rsidR="009659F1" w:rsidRPr="00F12AB5" w:rsidRDefault="009659F1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6D6B8EF1" w14:textId="77777777" w:rsidR="002564EA" w:rsidRPr="00F12AB5" w:rsidRDefault="004364BF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 xml:space="preserve">Informaţii </w:t>
      </w:r>
      <w:r w:rsidR="0028006B" w:rsidRPr="00F12AB5">
        <w:rPr>
          <w:rFonts w:ascii="Calibri" w:hAnsi="Calibri" w:cs="Calibri"/>
          <w:sz w:val="20"/>
          <w:szCs w:val="20"/>
        </w:rPr>
        <w:t>detaliate se găsesc în public</w:t>
      </w:r>
      <w:r w:rsidR="00F9642C">
        <w:rPr>
          <w:rFonts w:ascii="Calibri" w:hAnsi="Calibri" w:cs="Calibri"/>
          <w:sz w:val="20"/>
          <w:szCs w:val="20"/>
        </w:rPr>
        <w:t>a</w:t>
      </w:r>
      <w:r w:rsidR="0028006B" w:rsidRPr="00F12AB5">
        <w:rPr>
          <w:rFonts w:ascii="Calibri" w:hAnsi="Calibri" w:cs="Calibri"/>
          <w:sz w:val="20"/>
          <w:szCs w:val="20"/>
        </w:rPr>
        <w:t xml:space="preserve">ția </w:t>
      </w:r>
      <w:r w:rsidR="002564EA" w:rsidRPr="00F12AB5">
        <w:rPr>
          <w:rFonts w:ascii="Calibri" w:hAnsi="Calibri" w:cs="Calibri"/>
          <w:sz w:val="20"/>
          <w:szCs w:val="20"/>
        </w:rPr>
        <w:t>Statistici Explicate, secțiunea dedicată Parităților Puterii de Cumpărare</w:t>
      </w:r>
      <w:r w:rsidR="001050F1" w:rsidRPr="00F12AB5">
        <w:rPr>
          <w:rFonts w:ascii="Calibri" w:hAnsi="Calibri" w:cs="Calibri"/>
          <w:sz w:val="20"/>
          <w:szCs w:val="20"/>
        </w:rPr>
        <w:t xml:space="preserve"> </w:t>
      </w:r>
      <w:hyperlink r:id="rId13" w:history="1">
        <w:r w:rsidR="002564EA" w:rsidRPr="00F12AB5">
          <w:rPr>
            <w:rStyle w:val="Hyperlink"/>
            <w:rFonts w:ascii="Calibri" w:hAnsi="Calibri" w:cs="Calibri"/>
            <w:sz w:val="20"/>
            <w:szCs w:val="20"/>
          </w:rPr>
          <w:t>https://ec.europa.eu/eurostat/statistics-ex</w:t>
        </w:r>
        <w:r w:rsidR="002564EA" w:rsidRPr="00F12AB5">
          <w:rPr>
            <w:rStyle w:val="Hyperlink"/>
            <w:rFonts w:ascii="Calibri" w:hAnsi="Calibri" w:cs="Calibri"/>
            <w:sz w:val="20"/>
            <w:szCs w:val="20"/>
          </w:rPr>
          <w:t>p</w:t>
        </w:r>
        <w:r w:rsidR="002564EA" w:rsidRPr="00F12AB5">
          <w:rPr>
            <w:rStyle w:val="Hyperlink"/>
            <w:rFonts w:ascii="Calibri" w:hAnsi="Calibri" w:cs="Calibri"/>
            <w:sz w:val="20"/>
            <w:szCs w:val="20"/>
          </w:rPr>
          <w:t>lained</w:t>
        </w:r>
      </w:hyperlink>
      <w:r w:rsidR="002564EA" w:rsidRPr="00F12AB5">
        <w:rPr>
          <w:rFonts w:ascii="Calibri" w:hAnsi="Calibri" w:cs="Calibri"/>
          <w:sz w:val="20"/>
          <w:szCs w:val="20"/>
        </w:rPr>
        <w:t xml:space="preserve"> p</w:t>
      </w:r>
      <w:r w:rsidR="00866127" w:rsidRPr="00F12AB5">
        <w:rPr>
          <w:rFonts w:ascii="Calibri" w:hAnsi="Calibri" w:cs="Calibri"/>
          <w:sz w:val="20"/>
          <w:szCs w:val="20"/>
        </w:rPr>
        <w:t>r</w:t>
      </w:r>
      <w:r w:rsidR="002564EA" w:rsidRPr="00F12AB5">
        <w:rPr>
          <w:rFonts w:ascii="Calibri" w:hAnsi="Calibri" w:cs="Calibri"/>
          <w:sz w:val="20"/>
          <w:szCs w:val="20"/>
        </w:rPr>
        <w:t>ecum și în baza de date Eurostat, privind Paritățil</w:t>
      </w:r>
      <w:r w:rsidR="00F9642C">
        <w:rPr>
          <w:rFonts w:ascii="Calibri" w:hAnsi="Calibri" w:cs="Calibri"/>
          <w:sz w:val="20"/>
          <w:szCs w:val="20"/>
        </w:rPr>
        <w:t>e</w:t>
      </w:r>
      <w:r w:rsidR="002564EA" w:rsidRPr="00F12AB5">
        <w:rPr>
          <w:rFonts w:ascii="Calibri" w:hAnsi="Calibri" w:cs="Calibri"/>
          <w:sz w:val="20"/>
          <w:szCs w:val="20"/>
        </w:rPr>
        <w:t xml:space="preserve"> Puterii de Cumpărare: https://ec.europa.eu/eurostat/web/main/data/database.</w:t>
      </w:r>
    </w:p>
    <w:p w14:paraId="52579F5F" w14:textId="77777777" w:rsidR="002564EA" w:rsidRPr="00F12AB5" w:rsidRDefault="002564EA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0689E80A" w14:textId="77777777" w:rsidR="00866127" w:rsidRPr="00F12AB5" w:rsidRDefault="00866127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</w:p>
    <w:p w14:paraId="73978A04" w14:textId="77777777" w:rsidR="004364BF" w:rsidRPr="00F12AB5" w:rsidRDefault="004364BF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 xml:space="preserve">Următorul comunicat de presă </w:t>
      </w:r>
      <w:r w:rsidR="00F9642C">
        <w:rPr>
          <w:rFonts w:ascii="Calibri" w:hAnsi="Calibri" w:cs="Calibri"/>
          <w:sz w:val="20"/>
          <w:szCs w:val="20"/>
        </w:rPr>
        <w:t xml:space="preserve"> privind principalii indicatori ai parității puterii de cumpărare </w:t>
      </w:r>
      <w:r w:rsidR="009659F1" w:rsidRPr="00F12AB5">
        <w:rPr>
          <w:rFonts w:ascii="Calibri" w:hAnsi="Calibri" w:cs="Calibri"/>
          <w:sz w:val="20"/>
          <w:szCs w:val="20"/>
        </w:rPr>
        <w:t xml:space="preserve">va apărea </w:t>
      </w:r>
      <w:r w:rsidR="008C445B" w:rsidRPr="00F12AB5">
        <w:rPr>
          <w:rFonts w:ascii="Calibri" w:hAnsi="Calibri" w:cs="Calibri"/>
          <w:sz w:val="20"/>
          <w:szCs w:val="20"/>
        </w:rPr>
        <w:t>î</w:t>
      </w:r>
      <w:r w:rsidR="009659F1" w:rsidRPr="00F12AB5">
        <w:rPr>
          <w:rFonts w:ascii="Calibri" w:hAnsi="Calibri" w:cs="Calibri"/>
          <w:sz w:val="20"/>
          <w:szCs w:val="20"/>
        </w:rPr>
        <w:t>n dat</w:t>
      </w:r>
      <w:r w:rsidR="000360C2" w:rsidRPr="00F12AB5">
        <w:rPr>
          <w:rFonts w:ascii="Calibri" w:hAnsi="Calibri" w:cs="Calibri"/>
          <w:sz w:val="20"/>
          <w:szCs w:val="20"/>
        </w:rPr>
        <w:t>a</w:t>
      </w:r>
      <w:r w:rsidR="009659F1" w:rsidRPr="00F12AB5">
        <w:rPr>
          <w:rFonts w:ascii="Calibri" w:hAnsi="Calibri" w:cs="Calibri"/>
          <w:sz w:val="20"/>
          <w:szCs w:val="20"/>
        </w:rPr>
        <w:t xml:space="preserve"> de </w:t>
      </w:r>
      <w:r w:rsidR="00893D28" w:rsidRPr="00F12AB5">
        <w:rPr>
          <w:rFonts w:ascii="Calibri" w:hAnsi="Calibri" w:cs="Calibri"/>
          <w:b/>
          <w:sz w:val="20"/>
          <w:szCs w:val="20"/>
        </w:rPr>
        <w:t>2</w:t>
      </w:r>
      <w:r w:rsidR="00F9642C">
        <w:rPr>
          <w:rFonts w:ascii="Calibri" w:hAnsi="Calibri" w:cs="Calibri"/>
          <w:b/>
          <w:sz w:val="20"/>
          <w:szCs w:val="20"/>
        </w:rPr>
        <w:t>1</w:t>
      </w:r>
      <w:r w:rsidR="00245E37" w:rsidRPr="00F12AB5">
        <w:rPr>
          <w:rFonts w:ascii="Calibri" w:hAnsi="Calibri" w:cs="Calibri"/>
          <w:sz w:val="20"/>
          <w:szCs w:val="20"/>
        </w:rPr>
        <w:t xml:space="preserve"> </w:t>
      </w:r>
      <w:r w:rsidR="00245E37" w:rsidRPr="00F12AB5">
        <w:rPr>
          <w:rFonts w:ascii="Calibri" w:hAnsi="Calibri" w:cs="Calibri"/>
          <w:b/>
          <w:sz w:val="20"/>
          <w:szCs w:val="20"/>
        </w:rPr>
        <w:t>D</w:t>
      </w:r>
      <w:r w:rsidR="00893D28" w:rsidRPr="00F12AB5">
        <w:rPr>
          <w:rFonts w:ascii="Calibri" w:hAnsi="Calibri" w:cs="Calibri"/>
          <w:b/>
          <w:sz w:val="20"/>
          <w:szCs w:val="20"/>
        </w:rPr>
        <w:t>e</w:t>
      </w:r>
      <w:r w:rsidR="00245E37" w:rsidRPr="00F12AB5">
        <w:rPr>
          <w:rFonts w:ascii="Calibri" w:hAnsi="Calibri" w:cs="Calibri"/>
          <w:b/>
          <w:sz w:val="20"/>
          <w:szCs w:val="20"/>
        </w:rPr>
        <w:t>cembrie 202</w:t>
      </w:r>
      <w:r w:rsidR="000360C2" w:rsidRPr="00F12AB5">
        <w:rPr>
          <w:rFonts w:ascii="Calibri" w:hAnsi="Calibri" w:cs="Calibri"/>
          <w:b/>
          <w:sz w:val="20"/>
          <w:szCs w:val="20"/>
        </w:rPr>
        <w:t>2</w:t>
      </w:r>
      <w:r w:rsidR="00245E37" w:rsidRPr="00F12AB5">
        <w:rPr>
          <w:rFonts w:ascii="Calibri" w:hAnsi="Calibri" w:cs="Calibri"/>
          <w:b/>
          <w:sz w:val="20"/>
          <w:szCs w:val="20"/>
        </w:rPr>
        <w:t>.</w:t>
      </w:r>
    </w:p>
    <w:p w14:paraId="1796B91C" w14:textId="77777777" w:rsidR="004364BF" w:rsidRPr="00F12AB5" w:rsidRDefault="004364BF" w:rsidP="001050F1">
      <w:pPr>
        <w:tabs>
          <w:tab w:val="left" w:pos="-180"/>
        </w:tabs>
        <w:autoSpaceDE w:val="0"/>
        <w:autoSpaceDN w:val="0"/>
        <w:adjustRightInd w:val="0"/>
        <w:jc w:val="both"/>
        <w:rPr>
          <w:rFonts w:ascii="Calibri" w:hAnsi="Calibri" w:cs="Calibri"/>
          <w:b/>
          <w:color w:val="0000FF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 xml:space="preserve">Arhiva comunicatelor de presă: </w:t>
      </w:r>
      <w:hyperlink r:id="rId14" w:history="1">
        <w:r w:rsidRPr="00F12AB5">
          <w:rPr>
            <w:rStyle w:val="Hyperlink"/>
            <w:rFonts w:ascii="Calibri" w:hAnsi="Calibri" w:cs="Calibri"/>
            <w:b/>
            <w:sz w:val="20"/>
            <w:szCs w:val="20"/>
          </w:rPr>
          <w:t>http://www.insse.ro/cms/ro/comunicat</w:t>
        </w:r>
        <w:r w:rsidRPr="00F12AB5">
          <w:rPr>
            <w:rStyle w:val="Hyperlink"/>
            <w:rFonts w:ascii="Calibri" w:hAnsi="Calibri" w:cs="Calibri"/>
            <w:b/>
            <w:sz w:val="20"/>
            <w:szCs w:val="20"/>
          </w:rPr>
          <w:t>e</w:t>
        </w:r>
        <w:r w:rsidRPr="00F12AB5">
          <w:rPr>
            <w:rStyle w:val="Hyperlink"/>
            <w:rFonts w:ascii="Calibri" w:hAnsi="Calibri" w:cs="Calibri"/>
            <w:b/>
            <w:sz w:val="20"/>
            <w:szCs w:val="20"/>
          </w:rPr>
          <w:t>-de-presă-view</w:t>
        </w:r>
      </w:hyperlink>
    </w:p>
    <w:p w14:paraId="0C48322E" w14:textId="77777777" w:rsidR="00233476" w:rsidRPr="00F12AB5" w:rsidRDefault="00233476" w:rsidP="004364BF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</w:p>
    <w:p w14:paraId="48B9BB5E" w14:textId="77777777" w:rsidR="004364BF" w:rsidRPr="00F12AB5" w:rsidRDefault="004364BF" w:rsidP="004364B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b/>
          <w:sz w:val="20"/>
          <w:szCs w:val="20"/>
        </w:rPr>
        <w:t>Direcţia de comunicare</w:t>
      </w:r>
    </w:p>
    <w:p w14:paraId="1855E8E1" w14:textId="77777777" w:rsidR="004364BF" w:rsidRPr="00F12AB5" w:rsidRDefault="004364BF" w:rsidP="004364BF">
      <w:pPr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 xml:space="preserve">e-mail: </w:t>
      </w:r>
      <w:hyperlink r:id="rId15" w:history="1">
        <w:r w:rsidRPr="00F12AB5">
          <w:rPr>
            <w:rStyle w:val="Hyperlink"/>
            <w:rFonts w:ascii="Calibri" w:hAnsi="Calibri" w:cs="Calibri"/>
            <w:sz w:val="20"/>
            <w:szCs w:val="20"/>
          </w:rPr>
          <w:t>biroupresa@insse.ro</w:t>
        </w:r>
      </w:hyperlink>
    </w:p>
    <w:p w14:paraId="32D3D083" w14:textId="77777777" w:rsidR="004364BF" w:rsidRPr="00F12AB5" w:rsidRDefault="004364BF" w:rsidP="004364BF">
      <w:pPr>
        <w:rPr>
          <w:rFonts w:ascii="Calibri" w:hAnsi="Calibri" w:cs="Calibri"/>
          <w:sz w:val="20"/>
          <w:szCs w:val="20"/>
        </w:rPr>
      </w:pPr>
      <w:r w:rsidRPr="00F12AB5">
        <w:rPr>
          <w:rFonts w:ascii="Calibri" w:hAnsi="Calibri" w:cs="Calibri"/>
          <w:sz w:val="20"/>
          <w:szCs w:val="20"/>
        </w:rPr>
        <w:t>Tel: +4021 318186</w:t>
      </w:r>
      <w:r w:rsidR="000360C2" w:rsidRPr="00F12AB5">
        <w:rPr>
          <w:rFonts w:ascii="Calibri" w:hAnsi="Calibri" w:cs="Calibri"/>
          <w:sz w:val="20"/>
          <w:szCs w:val="20"/>
        </w:rPr>
        <w:t>9</w:t>
      </w:r>
      <w:r w:rsidRPr="00F12AB5">
        <w:rPr>
          <w:rFonts w:ascii="Calibri" w:hAnsi="Calibri" w:cs="Calibri"/>
          <w:sz w:val="20"/>
          <w:szCs w:val="20"/>
        </w:rPr>
        <w:tab/>
      </w:r>
      <w:r w:rsidRPr="00F12AB5">
        <w:rPr>
          <w:rFonts w:ascii="Calibri" w:hAnsi="Calibri" w:cs="Calibri"/>
          <w:sz w:val="20"/>
          <w:szCs w:val="20"/>
        </w:rPr>
        <w:tab/>
      </w:r>
      <w:r w:rsidRPr="00F12AB5">
        <w:rPr>
          <w:rFonts w:ascii="Calibri" w:hAnsi="Calibri" w:cs="Calibri"/>
          <w:sz w:val="20"/>
          <w:szCs w:val="20"/>
        </w:rPr>
        <w:tab/>
      </w:r>
      <w:r w:rsidRPr="00F12AB5">
        <w:rPr>
          <w:rFonts w:ascii="Calibri" w:hAnsi="Calibri" w:cs="Calibri"/>
          <w:sz w:val="20"/>
          <w:szCs w:val="20"/>
        </w:rPr>
        <w:tab/>
      </w:r>
    </w:p>
    <w:p w14:paraId="02F30417" w14:textId="77777777" w:rsidR="004364BF" w:rsidRPr="00F12AB5" w:rsidRDefault="004364BF" w:rsidP="004364BF">
      <w:pPr>
        <w:spacing w:line="220" w:lineRule="exact"/>
        <w:jc w:val="center"/>
        <w:rPr>
          <w:rFonts w:ascii="Calibri" w:hAnsi="Calibri" w:cs="Calibri"/>
          <w:b/>
          <w:sz w:val="20"/>
          <w:szCs w:val="20"/>
        </w:rPr>
      </w:pPr>
    </w:p>
    <w:p w14:paraId="3FF0994F" w14:textId="77777777" w:rsidR="00265E94" w:rsidRPr="00F12AB5" w:rsidRDefault="00265E94" w:rsidP="004364BF">
      <w:pPr>
        <w:spacing w:line="220" w:lineRule="exact"/>
        <w:jc w:val="center"/>
        <w:rPr>
          <w:rFonts w:ascii="Calibri" w:hAnsi="Calibri" w:cs="Calibri"/>
          <w:b/>
          <w:sz w:val="20"/>
          <w:szCs w:val="20"/>
        </w:rPr>
      </w:pPr>
    </w:p>
    <w:p w14:paraId="0C3632F6" w14:textId="77777777" w:rsidR="00E95D3A" w:rsidRPr="00F12AB5" w:rsidRDefault="00E95D3A" w:rsidP="00ED49D8">
      <w:pPr>
        <w:spacing w:line="220" w:lineRule="exact"/>
        <w:rPr>
          <w:rFonts w:ascii="Calibri" w:hAnsi="Calibri" w:cs="Calibri"/>
          <w:b/>
          <w:sz w:val="20"/>
          <w:szCs w:val="20"/>
        </w:rPr>
      </w:pPr>
    </w:p>
    <w:sectPr w:rsidR="00E95D3A" w:rsidRPr="00F12AB5" w:rsidSect="00064CB3">
      <w:footerReference w:type="default" r:id="rId16"/>
      <w:type w:val="continuous"/>
      <w:pgSz w:w="11906" w:h="16838" w:code="9"/>
      <w:pgMar w:top="578" w:right="851" w:bottom="289" w:left="851" w:header="851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7A075C" w14:textId="77777777" w:rsidR="003B6572" w:rsidRDefault="003B6572">
      <w:r>
        <w:separator/>
      </w:r>
    </w:p>
  </w:endnote>
  <w:endnote w:type="continuationSeparator" w:id="0">
    <w:p w14:paraId="7FF09202" w14:textId="77777777" w:rsidR="003B6572" w:rsidRDefault="003B6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Trebuchet MS"/>
    <w:panose1 w:val="020B0604020202020204"/>
    <w:charset w:val="00"/>
    <w:family w:val="swiss"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D40BE3" w14:textId="77777777" w:rsidR="00FC1595" w:rsidRDefault="00FC1595">
    <w:pPr>
      <w:pStyle w:val="Footer"/>
    </w:pPr>
  </w:p>
  <w:p w14:paraId="1DD8F6B5" w14:textId="77777777" w:rsidR="00FC1595" w:rsidRDefault="00FC1595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77D3F51" w14:textId="77777777" w:rsidR="00FC1595" w:rsidRDefault="00FC1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AF6B9" w14:textId="77777777" w:rsidR="003B6572" w:rsidRDefault="003B6572">
      <w:r>
        <w:separator/>
      </w:r>
    </w:p>
  </w:footnote>
  <w:footnote w:type="continuationSeparator" w:id="0">
    <w:p w14:paraId="35FFDB33" w14:textId="77777777" w:rsidR="003B6572" w:rsidRDefault="003B6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C20B2D"/>
    <w:multiLevelType w:val="hybridMultilevel"/>
    <w:tmpl w:val="8D601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02B5"/>
    <w:multiLevelType w:val="hybridMultilevel"/>
    <w:tmpl w:val="DAEACA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14C67"/>
    <w:multiLevelType w:val="hybridMultilevel"/>
    <w:tmpl w:val="BE94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A7CE9"/>
    <w:multiLevelType w:val="hybridMultilevel"/>
    <w:tmpl w:val="76FE5B88"/>
    <w:lvl w:ilvl="0" w:tplc="D930A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56E07"/>
    <w:multiLevelType w:val="hybridMultilevel"/>
    <w:tmpl w:val="CE9E1D0E"/>
    <w:lvl w:ilvl="0" w:tplc="EC1C6BB8">
      <w:start w:val="1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EB451AE"/>
    <w:multiLevelType w:val="hybridMultilevel"/>
    <w:tmpl w:val="268AC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AF4D6A"/>
    <w:multiLevelType w:val="hybridMultilevel"/>
    <w:tmpl w:val="2D3C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20C7C"/>
    <w:multiLevelType w:val="hybridMultilevel"/>
    <w:tmpl w:val="4BB48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8538A"/>
    <w:multiLevelType w:val="hybridMultilevel"/>
    <w:tmpl w:val="28F22A9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C1714"/>
    <w:multiLevelType w:val="hybridMultilevel"/>
    <w:tmpl w:val="0602C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4BA2775"/>
    <w:multiLevelType w:val="hybridMultilevel"/>
    <w:tmpl w:val="CD20E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76495"/>
    <w:multiLevelType w:val="hybridMultilevel"/>
    <w:tmpl w:val="CDF26B10"/>
    <w:lvl w:ilvl="0" w:tplc="DB26BEFE">
      <w:numFmt w:val="bullet"/>
      <w:lvlText w:val="-"/>
      <w:lvlJc w:val="left"/>
      <w:pPr>
        <w:ind w:left="814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8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08" w:hanging="360"/>
      </w:pPr>
      <w:rPr>
        <w:rFonts w:ascii="Wingdings" w:hAnsi="Wingdings" w:hint="default"/>
      </w:rPr>
    </w:lvl>
  </w:abstractNum>
  <w:abstractNum w:abstractNumId="12" w15:restartNumberingAfterBreak="0">
    <w:nsid w:val="57EA770B"/>
    <w:multiLevelType w:val="hybridMultilevel"/>
    <w:tmpl w:val="387A1B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929DE"/>
    <w:multiLevelType w:val="hybridMultilevel"/>
    <w:tmpl w:val="EF8EA802"/>
    <w:lvl w:ilvl="0" w:tplc="FD46F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D7EAB"/>
    <w:multiLevelType w:val="hybridMultilevel"/>
    <w:tmpl w:val="6E46F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21926"/>
    <w:multiLevelType w:val="hybridMultilevel"/>
    <w:tmpl w:val="0DD6441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E6C2E7E"/>
    <w:multiLevelType w:val="hybridMultilevel"/>
    <w:tmpl w:val="C8CA8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34015"/>
    <w:multiLevelType w:val="hybridMultilevel"/>
    <w:tmpl w:val="69602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EA758B"/>
    <w:multiLevelType w:val="hybridMultilevel"/>
    <w:tmpl w:val="DBBE8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65F75"/>
    <w:multiLevelType w:val="hybridMultilevel"/>
    <w:tmpl w:val="EF8EA802"/>
    <w:lvl w:ilvl="0" w:tplc="FD46F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9813BD"/>
    <w:multiLevelType w:val="hybridMultilevel"/>
    <w:tmpl w:val="FFF614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24DFB"/>
    <w:multiLevelType w:val="hybridMultilevel"/>
    <w:tmpl w:val="926A50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257C8"/>
    <w:multiLevelType w:val="hybridMultilevel"/>
    <w:tmpl w:val="B1547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7EE31B4"/>
    <w:multiLevelType w:val="hybridMultilevel"/>
    <w:tmpl w:val="19DE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4"/>
  </w:num>
  <w:num w:numId="6">
    <w:abstractNumId w:val="19"/>
  </w:num>
  <w:num w:numId="7">
    <w:abstractNumId w:val="0"/>
  </w:num>
  <w:num w:numId="8">
    <w:abstractNumId w:val="13"/>
  </w:num>
  <w:num w:numId="9">
    <w:abstractNumId w:val="1"/>
  </w:num>
  <w:num w:numId="10">
    <w:abstractNumId w:val="12"/>
  </w:num>
  <w:num w:numId="11">
    <w:abstractNumId w:val="20"/>
  </w:num>
  <w:num w:numId="12">
    <w:abstractNumId w:val="21"/>
  </w:num>
  <w:num w:numId="13">
    <w:abstractNumId w:val="11"/>
  </w:num>
  <w:num w:numId="14">
    <w:abstractNumId w:val="15"/>
  </w:num>
  <w:num w:numId="15">
    <w:abstractNumId w:val="7"/>
  </w:num>
  <w:num w:numId="16">
    <w:abstractNumId w:val="23"/>
  </w:num>
  <w:num w:numId="17">
    <w:abstractNumId w:val="6"/>
  </w:num>
  <w:num w:numId="18">
    <w:abstractNumId w:val="16"/>
  </w:num>
  <w:num w:numId="19">
    <w:abstractNumId w:val="17"/>
  </w:num>
  <w:num w:numId="20">
    <w:abstractNumId w:val="3"/>
  </w:num>
  <w:num w:numId="21">
    <w:abstractNumId w:val="22"/>
  </w:num>
  <w:num w:numId="22">
    <w:abstractNumId w:val="9"/>
  </w:num>
  <w:num w:numId="23">
    <w:abstractNumId w:val="14"/>
  </w:num>
  <w:num w:numId="24">
    <w:abstractNumId w:val="10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98A"/>
    <w:rsid w:val="0000486B"/>
    <w:rsid w:val="00006C07"/>
    <w:rsid w:val="000072DE"/>
    <w:rsid w:val="00007EBD"/>
    <w:rsid w:val="000103BC"/>
    <w:rsid w:val="000121E4"/>
    <w:rsid w:val="0001326F"/>
    <w:rsid w:val="000143B1"/>
    <w:rsid w:val="00016F42"/>
    <w:rsid w:val="00017BA9"/>
    <w:rsid w:val="00017C67"/>
    <w:rsid w:val="000215CC"/>
    <w:rsid w:val="00021D04"/>
    <w:rsid w:val="000225AD"/>
    <w:rsid w:val="00022D07"/>
    <w:rsid w:val="00023CF5"/>
    <w:rsid w:val="00025CD4"/>
    <w:rsid w:val="000302A4"/>
    <w:rsid w:val="00030E6E"/>
    <w:rsid w:val="00033DF5"/>
    <w:rsid w:val="000360C2"/>
    <w:rsid w:val="000424D0"/>
    <w:rsid w:val="0004259D"/>
    <w:rsid w:val="00043B90"/>
    <w:rsid w:val="00044648"/>
    <w:rsid w:val="00044EB7"/>
    <w:rsid w:val="00045955"/>
    <w:rsid w:val="0005197B"/>
    <w:rsid w:val="0005434A"/>
    <w:rsid w:val="000549E9"/>
    <w:rsid w:val="00057BC3"/>
    <w:rsid w:val="00057C9A"/>
    <w:rsid w:val="00063165"/>
    <w:rsid w:val="00064CB3"/>
    <w:rsid w:val="00064D91"/>
    <w:rsid w:val="00066BBF"/>
    <w:rsid w:val="00067BF2"/>
    <w:rsid w:val="0007011B"/>
    <w:rsid w:val="00070BEE"/>
    <w:rsid w:val="00074F2D"/>
    <w:rsid w:val="00075496"/>
    <w:rsid w:val="00075FCE"/>
    <w:rsid w:val="00076A39"/>
    <w:rsid w:val="000773EB"/>
    <w:rsid w:val="00077503"/>
    <w:rsid w:val="00081C27"/>
    <w:rsid w:val="00082465"/>
    <w:rsid w:val="00082B60"/>
    <w:rsid w:val="00084D01"/>
    <w:rsid w:val="00087258"/>
    <w:rsid w:val="00092ABD"/>
    <w:rsid w:val="00093E51"/>
    <w:rsid w:val="00093F39"/>
    <w:rsid w:val="000945FF"/>
    <w:rsid w:val="000955F6"/>
    <w:rsid w:val="000A1919"/>
    <w:rsid w:val="000A1DDC"/>
    <w:rsid w:val="000A1E30"/>
    <w:rsid w:val="000A2952"/>
    <w:rsid w:val="000B15D2"/>
    <w:rsid w:val="000C0FFA"/>
    <w:rsid w:val="000C154C"/>
    <w:rsid w:val="000C311E"/>
    <w:rsid w:val="000C432F"/>
    <w:rsid w:val="000C4E3B"/>
    <w:rsid w:val="000C6322"/>
    <w:rsid w:val="000C6376"/>
    <w:rsid w:val="000C6BCC"/>
    <w:rsid w:val="000D1BEE"/>
    <w:rsid w:val="000D24BE"/>
    <w:rsid w:val="000D4BA0"/>
    <w:rsid w:val="000D53F3"/>
    <w:rsid w:val="000D5431"/>
    <w:rsid w:val="000D5CAB"/>
    <w:rsid w:val="000D6B0C"/>
    <w:rsid w:val="000E03CD"/>
    <w:rsid w:val="000E1BB4"/>
    <w:rsid w:val="000F02A9"/>
    <w:rsid w:val="000F1DEF"/>
    <w:rsid w:val="000F3929"/>
    <w:rsid w:val="000F3F64"/>
    <w:rsid w:val="000F4477"/>
    <w:rsid w:val="000F47FB"/>
    <w:rsid w:val="000F695D"/>
    <w:rsid w:val="000F721A"/>
    <w:rsid w:val="000F74A9"/>
    <w:rsid w:val="000F7E1E"/>
    <w:rsid w:val="001020F3"/>
    <w:rsid w:val="0010244F"/>
    <w:rsid w:val="001025A0"/>
    <w:rsid w:val="00103D40"/>
    <w:rsid w:val="001050F1"/>
    <w:rsid w:val="00106514"/>
    <w:rsid w:val="001117F2"/>
    <w:rsid w:val="00113B14"/>
    <w:rsid w:val="00114AC9"/>
    <w:rsid w:val="001157A9"/>
    <w:rsid w:val="00115A81"/>
    <w:rsid w:val="001169B0"/>
    <w:rsid w:val="00116A7F"/>
    <w:rsid w:val="00120C96"/>
    <w:rsid w:val="00124786"/>
    <w:rsid w:val="00125700"/>
    <w:rsid w:val="001259CE"/>
    <w:rsid w:val="00131069"/>
    <w:rsid w:val="0013106D"/>
    <w:rsid w:val="00131EC8"/>
    <w:rsid w:val="00132B5B"/>
    <w:rsid w:val="001368D3"/>
    <w:rsid w:val="0014354B"/>
    <w:rsid w:val="00152C2D"/>
    <w:rsid w:val="00152DB5"/>
    <w:rsid w:val="00152EBE"/>
    <w:rsid w:val="00153C59"/>
    <w:rsid w:val="001570BD"/>
    <w:rsid w:val="001628E9"/>
    <w:rsid w:val="00163DAD"/>
    <w:rsid w:val="00170639"/>
    <w:rsid w:val="001712D0"/>
    <w:rsid w:val="00172534"/>
    <w:rsid w:val="00172798"/>
    <w:rsid w:val="001759DA"/>
    <w:rsid w:val="001767F7"/>
    <w:rsid w:val="00176EB4"/>
    <w:rsid w:val="00181093"/>
    <w:rsid w:val="00181BD5"/>
    <w:rsid w:val="00182E85"/>
    <w:rsid w:val="00183E65"/>
    <w:rsid w:val="00186B17"/>
    <w:rsid w:val="001879A6"/>
    <w:rsid w:val="00190A90"/>
    <w:rsid w:val="00191A13"/>
    <w:rsid w:val="0019256C"/>
    <w:rsid w:val="00193D5A"/>
    <w:rsid w:val="00194D7F"/>
    <w:rsid w:val="001950D9"/>
    <w:rsid w:val="0019594F"/>
    <w:rsid w:val="00196821"/>
    <w:rsid w:val="00197ECC"/>
    <w:rsid w:val="001A0ABC"/>
    <w:rsid w:val="001A6DA2"/>
    <w:rsid w:val="001B54AE"/>
    <w:rsid w:val="001B646C"/>
    <w:rsid w:val="001B6757"/>
    <w:rsid w:val="001C0102"/>
    <w:rsid w:val="001C2296"/>
    <w:rsid w:val="001C24C3"/>
    <w:rsid w:val="001C5B31"/>
    <w:rsid w:val="001C66EE"/>
    <w:rsid w:val="001D0FA7"/>
    <w:rsid w:val="001D3DE3"/>
    <w:rsid w:val="001D447B"/>
    <w:rsid w:val="001D5327"/>
    <w:rsid w:val="001E0384"/>
    <w:rsid w:val="001E16A6"/>
    <w:rsid w:val="001E3661"/>
    <w:rsid w:val="001E5687"/>
    <w:rsid w:val="001E5920"/>
    <w:rsid w:val="001E5C14"/>
    <w:rsid w:val="001E637F"/>
    <w:rsid w:val="001F1316"/>
    <w:rsid w:val="001F1597"/>
    <w:rsid w:val="001F2293"/>
    <w:rsid w:val="001F38BD"/>
    <w:rsid w:val="001F4932"/>
    <w:rsid w:val="001F7688"/>
    <w:rsid w:val="00201DDB"/>
    <w:rsid w:val="002020D7"/>
    <w:rsid w:val="0020260A"/>
    <w:rsid w:val="00203513"/>
    <w:rsid w:val="00204BA7"/>
    <w:rsid w:val="00206D76"/>
    <w:rsid w:val="002073BA"/>
    <w:rsid w:val="00211952"/>
    <w:rsid w:val="00212094"/>
    <w:rsid w:val="002137F4"/>
    <w:rsid w:val="0021440C"/>
    <w:rsid w:val="00214D56"/>
    <w:rsid w:val="00216F9E"/>
    <w:rsid w:val="002200A5"/>
    <w:rsid w:val="002200FC"/>
    <w:rsid w:val="002213A9"/>
    <w:rsid w:val="002264E0"/>
    <w:rsid w:val="00232B8A"/>
    <w:rsid w:val="00233358"/>
    <w:rsid w:val="00233476"/>
    <w:rsid w:val="00233EFA"/>
    <w:rsid w:val="002340E3"/>
    <w:rsid w:val="00234507"/>
    <w:rsid w:val="00235474"/>
    <w:rsid w:val="00236EFF"/>
    <w:rsid w:val="00242454"/>
    <w:rsid w:val="0024452B"/>
    <w:rsid w:val="002448F8"/>
    <w:rsid w:val="00245E37"/>
    <w:rsid w:val="00246334"/>
    <w:rsid w:val="0024650D"/>
    <w:rsid w:val="00247569"/>
    <w:rsid w:val="002478F7"/>
    <w:rsid w:val="00252567"/>
    <w:rsid w:val="0025283F"/>
    <w:rsid w:val="0025366B"/>
    <w:rsid w:val="00255418"/>
    <w:rsid w:val="00255663"/>
    <w:rsid w:val="002564EA"/>
    <w:rsid w:val="00257962"/>
    <w:rsid w:val="00261139"/>
    <w:rsid w:val="00262844"/>
    <w:rsid w:val="00264DFD"/>
    <w:rsid w:val="00265E94"/>
    <w:rsid w:val="00270997"/>
    <w:rsid w:val="002713B1"/>
    <w:rsid w:val="0027191F"/>
    <w:rsid w:val="00272D96"/>
    <w:rsid w:val="00275958"/>
    <w:rsid w:val="00275D0C"/>
    <w:rsid w:val="0027784E"/>
    <w:rsid w:val="00277CA3"/>
    <w:rsid w:val="0028006B"/>
    <w:rsid w:val="00280E60"/>
    <w:rsid w:val="00281047"/>
    <w:rsid w:val="00281956"/>
    <w:rsid w:val="00283874"/>
    <w:rsid w:val="00285693"/>
    <w:rsid w:val="00286795"/>
    <w:rsid w:val="002868FC"/>
    <w:rsid w:val="00287944"/>
    <w:rsid w:val="00290867"/>
    <w:rsid w:val="00292064"/>
    <w:rsid w:val="00292EFD"/>
    <w:rsid w:val="00293049"/>
    <w:rsid w:val="00295932"/>
    <w:rsid w:val="0029593E"/>
    <w:rsid w:val="002A08E2"/>
    <w:rsid w:val="002A36FE"/>
    <w:rsid w:val="002A5564"/>
    <w:rsid w:val="002B13C6"/>
    <w:rsid w:val="002B28F9"/>
    <w:rsid w:val="002B2DFD"/>
    <w:rsid w:val="002B3229"/>
    <w:rsid w:val="002B33AA"/>
    <w:rsid w:val="002B4E66"/>
    <w:rsid w:val="002B4ED4"/>
    <w:rsid w:val="002C2EC9"/>
    <w:rsid w:val="002C4A25"/>
    <w:rsid w:val="002C58A5"/>
    <w:rsid w:val="002C7349"/>
    <w:rsid w:val="002D0086"/>
    <w:rsid w:val="002D018E"/>
    <w:rsid w:val="002D0954"/>
    <w:rsid w:val="002D0EF6"/>
    <w:rsid w:val="002D3855"/>
    <w:rsid w:val="002D5462"/>
    <w:rsid w:val="002D54FA"/>
    <w:rsid w:val="002D5BC3"/>
    <w:rsid w:val="002D74AC"/>
    <w:rsid w:val="002E160E"/>
    <w:rsid w:val="002E1892"/>
    <w:rsid w:val="002E304C"/>
    <w:rsid w:val="002E3BCC"/>
    <w:rsid w:val="002E47C5"/>
    <w:rsid w:val="002E489C"/>
    <w:rsid w:val="002E542A"/>
    <w:rsid w:val="002E6D8F"/>
    <w:rsid w:val="002E71CB"/>
    <w:rsid w:val="002F3024"/>
    <w:rsid w:val="002F58FC"/>
    <w:rsid w:val="002F6551"/>
    <w:rsid w:val="002F7186"/>
    <w:rsid w:val="002F791F"/>
    <w:rsid w:val="002F7ABD"/>
    <w:rsid w:val="00302A7C"/>
    <w:rsid w:val="00303840"/>
    <w:rsid w:val="00304031"/>
    <w:rsid w:val="003067F2"/>
    <w:rsid w:val="003106E9"/>
    <w:rsid w:val="00313ADE"/>
    <w:rsid w:val="00314286"/>
    <w:rsid w:val="003143F7"/>
    <w:rsid w:val="0031508F"/>
    <w:rsid w:val="0031526C"/>
    <w:rsid w:val="003160E7"/>
    <w:rsid w:val="00316635"/>
    <w:rsid w:val="00316A70"/>
    <w:rsid w:val="00317E51"/>
    <w:rsid w:val="00320D60"/>
    <w:rsid w:val="00320ECA"/>
    <w:rsid w:val="00325584"/>
    <w:rsid w:val="003257BD"/>
    <w:rsid w:val="00325A02"/>
    <w:rsid w:val="00326739"/>
    <w:rsid w:val="00327B61"/>
    <w:rsid w:val="00331134"/>
    <w:rsid w:val="00331555"/>
    <w:rsid w:val="00331B4B"/>
    <w:rsid w:val="003327F1"/>
    <w:rsid w:val="00335E21"/>
    <w:rsid w:val="003424D1"/>
    <w:rsid w:val="00343678"/>
    <w:rsid w:val="00344E1A"/>
    <w:rsid w:val="003464C5"/>
    <w:rsid w:val="00346F47"/>
    <w:rsid w:val="00352204"/>
    <w:rsid w:val="00352F94"/>
    <w:rsid w:val="00353E06"/>
    <w:rsid w:val="00354796"/>
    <w:rsid w:val="003554A3"/>
    <w:rsid w:val="00355BE7"/>
    <w:rsid w:val="0036182F"/>
    <w:rsid w:val="00363A3B"/>
    <w:rsid w:val="003640EF"/>
    <w:rsid w:val="00366616"/>
    <w:rsid w:val="00366879"/>
    <w:rsid w:val="003677EC"/>
    <w:rsid w:val="00370191"/>
    <w:rsid w:val="003712B5"/>
    <w:rsid w:val="003735FB"/>
    <w:rsid w:val="0037377A"/>
    <w:rsid w:val="00374DB9"/>
    <w:rsid w:val="00375D51"/>
    <w:rsid w:val="003775CC"/>
    <w:rsid w:val="003828E4"/>
    <w:rsid w:val="0038297A"/>
    <w:rsid w:val="00383C28"/>
    <w:rsid w:val="00384368"/>
    <w:rsid w:val="00385F97"/>
    <w:rsid w:val="00387EC1"/>
    <w:rsid w:val="0039023E"/>
    <w:rsid w:val="00391278"/>
    <w:rsid w:val="00392E11"/>
    <w:rsid w:val="00393FAE"/>
    <w:rsid w:val="003946F6"/>
    <w:rsid w:val="0039531C"/>
    <w:rsid w:val="00395701"/>
    <w:rsid w:val="00395CAA"/>
    <w:rsid w:val="00397268"/>
    <w:rsid w:val="003A14F8"/>
    <w:rsid w:val="003A1772"/>
    <w:rsid w:val="003A29B8"/>
    <w:rsid w:val="003A3DC6"/>
    <w:rsid w:val="003A5683"/>
    <w:rsid w:val="003A5C1A"/>
    <w:rsid w:val="003A774B"/>
    <w:rsid w:val="003A7D4B"/>
    <w:rsid w:val="003B2715"/>
    <w:rsid w:val="003B2C39"/>
    <w:rsid w:val="003B3C4D"/>
    <w:rsid w:val="003B59A3"/>
    <w:rsid w:val="003B5C63"/>
    <w:rsid w:val="003B6572"/>
    <w:rsid w:val="003B7991"/>
    <w:rsid w:val="003C0354"/>
    <w:rsid w:val="003C0E4E"/>
    <w:rsid w:val="003C16F2"/>
    <w:rsid w:val="003C266F"/>
    <w:rsid w:val="003C3221"/>
    <w:rsid w:val="003C4B32"/>
    <w:rsid w:val="003C4EAF"/>
    <w:rsid w:val="003C4F60"/>
    <w:rsid w:val="003C69BF"/>
    <w:rsid w:val="003D58EA"/>
    <w:rsid w:val="003D69F2"/>
    <w:rsid w:val="003D6F4B"/>
    <w:rsid w:val="003D7A29"/>
    <w:rsid w:val="003E1B09"/>
    <w:rsid w:val="003E2435"/>
    <w:rsid w:val="003E3264"/>
    <w:rsid w:val="003E36A6"/>
    <w:rsid w:val="003E3EE6"/>
    <w:rsid w:val="003F088C"/>
    <w:rsid w:val="003F45CC"/>
    <w:rsid w:val="003F4D6A"/>
    <w:rsid w:val="003F4F76"/>
    <w:rsid w:val="003F51B2"/>
    <w:rsid w:val="003F524C"/>
    <w:rsid w:val="003F6027"/>
    <w:rsid w:val="004012E1"/>
    <w:rsid w:val="00402F2F"/>
    <w:rsid w:val="00404D7E"/>
    <w:rsid w:val="0040541C"/>
    <w:rsid w:val="00407BAB"/>
    <w:rsid w:val="00410E16"/>
    <w:rsid w:val="00411AC5"/>
    <w:rsid w:val="00413191"/>
    <w:rsid w:val="004146A0"/>
    <w:rsid w:val="00414F53"/>
    <w:rsid w:val="00416599"/>
    <w:rsid w:val="00421D1E"/>
    <w:rsid w:val="004233C0"/>
    <w:rsid w:val="004234AB"/>
    <w:rsid w:val="0042389B"/>
    <w:rsid w:val="0042493E"/>
    <w:rsid w:val="00426985"/>
    <w:rsid w:val="00430089"/>
    <w:rsid w:val="0043297A"/>
    <w:rsid w:val="004331CA"/>
    <w:rsid w:val="00434D70"/>
    <w:rsid w:val="00435768"/>
    <w:rsid w:val="004364BF"/>
    <w:rsid w:val="004377C8"/>
    <w:rsid w:val="0044164A"/>
    <w:rsid w:val="00442A80"/>
    <w:rsid w:val="00443C61"/>
    <w:rsid w:val="0044548C"/>
    <w:rsid w:val="00447BBE"/>
    <w:rsid w:val="00450BAB"/>
    <w:rsid w:val="00450CFB"/>
    <w:rsid w:val="00451B0F"/>
    <w:rsid w:val="00451FD3"/>
    <w:rsid w:val="0045613A"/>
    <w:rsid w:val="004566A0"/>
    <w:rsid w:val="00456865"/>
    <w:rsid w:val="00464BCD"/>
    <w:rsid w:val="004655A5"/>
    <w:rsid w:val="00465F1F"/>
    <w:rsid w:val="00466A33"/>
    <w:rsid w:val="00467888"/>
    <w:rsid w:val="00470096"/>
    <w:rsid w:val="004700A4"/>
    <w:rsid w:val="00470B9D"/>
    <w:rsid w:val="0047196B"/>
    <w:rsid w:val="004719EF"/>
    <w:rsid w:val="00472FC0"/>
    <w:rsid w:val="00474DB7"/>
    <w:rsid w:val="0047675E"/>
    <w:rsid w:val="0047706F"/>
    <w:rsid w:val="0047792F"/>
    <w:rsid w:val="004808E9"/>
    <w:rsid w:val="00480E15"/>
    <w:rsid w:val="004810E1"/>
    <w:rsid w:val="00483E57"/>
    <w:rsid w:val="00484EF6"/>
    <w:rsid w:val="00486589"/>
    <w:rsid w:val="00487227"/>
    <w:rsid w:val="0048759A"/>
    <w:rsid w:val="00490027"/>
    <w:rsid w:val="004924AC"/>
    <w:rsid w:val="00496377"/>
    <w:rsid w:val="00497407"/>
    <w:rsid w:val="00497CEA"/>
    <w:rsid w:val="004A1053"/>
    <w:rsid w:val="004A21F4"/>
    <w:rsid w:val="004A25BF"/>
    <w:rsid w:val="004A3104"/>
    <w:rsid w:val="004A431A"/>
    <w:rsid w:val="004A452A"/>
    <w:rsid w:val="004A5222"/>
    <w:rsid w:val="004A578A"/>
    <w:rsid w:val="004A580B"/>
    <w:rsid w:val="004A5835"/>
    <w:rsid w:val="004A5A00"/>
    <w:rsid w:val="004A65A2"/>
    <w:rsid w:val="004A6FA6"/>
    <w:rsid w:val="004B3606"/>
    <w:rsid w:val="004B3726"/>
    <w:rsid w:val="004B4006"/>
    <w:rsid w:val="004B5A02"/>
    <w:rsid w:val="004B6BE4"/>
    <w:rsid w:val="004B71CD"/>
    <w:rsid w:val="004B7DA1"/>
    <w:rsid w:val="004C0A93"/>
    <w:rsid w:val="004C0F86"/>
    <w:rsid w:val="004C2F7D"/>
    <w:rsid w:val="004C583C"/>
    <w:rsid w:val="004C5EC3"/>
    <w:rsid w:val="004C62A2"/>
    <w:rsid w:val="004C62D1"/>
    <w:rsid w:val="004C642A"/>
    <w:rsid w:val="004C6C44"/>
    <w:rsid w:val="004C7046"/>
    <w:rsid w:val="004C73D6"/>
    <w:rsid w:val="004C77F3"/>
    <w:rsid w:val="004D0040"/>
    <w:rsid w:val="004D1255"/>
    <w:rsid w:val="004D17AD"/>
    <w:rsid w:val="004D2BA8"/>
    <w:rsid w:val="004D4D17"/>
    <w:rsid w:val="004D5900"/>
    <w:rsid w:val="004D6726"/>
    <w:rsid w:val="004D7985"/>
    <w:rsid w:val="004E0806"/>
    <w:rsid w:val="004E16CE"/>
    <w:rsid w:val="004E2053"/>
    <w:rsid w:val="004E2C51"/>
    <w:rsid w:val="004E30A6"/>
    <w:rsid w:val="004F0921"/>
    <w:rsid w:val="004F3B33"/>
    <w:rsid w:val="004F6627"/>
    <w:rsid w:val="004F6926"/>
    <w:rsid w:val="004F6CE6"/>
    <w:rsid w:val="004F70EA"/>
    <w:rsid w:val="005010CA"/>
    <w:rsid w:val="00501674"/>
    <w:rsid w:val="00503D1C"/>
    <w:rsid w:val="005045F2"/>
    <w:rsid w:val="0050596A"/>
    <w:rsid w:val="00507075"/>
    <w:rsid w:val="00507767"/>
    <w:rsid w:val="00507B88"/>
    <w:rsid w:val="005101CB"/>
    <w:rsid w:val="005109ED"/>
    <w:rsid w:val="005113C0"/>
    <w:rsid w:val="00512012"/>
    <w:rsid w:val="00512052"/>
    <w:rsid w:val="00514DA7"/>
    <w:rsid w:val="00515DE0"/>
    <w:rsid w:val="00516795"/>
    <w:rsid w:val="00516B3F"/>
    <w:rsid w:val="00516C96"/>
    <w:rsid w:val="00517139"/>
    <w:rsid w:val="00517B28"/>
    <w:rsid w:val="005206A1"/>
    <w:rsid w:val="005226B2"/>
    <w:rsid w:val="00522DB1"/>
    <w:rsid w:val="005230FB"/>
    <w:rsid w:val="005232DC"/>
    <w:rsid w:val="005239E7"/>
    <w:rsid w:val="00523EA1"/>
    <w:rsid w:val="00525805"/>
    <w:rsid w:val="00526FF6"/>
    <w:rsid w:val="00530160"/>
    <w:rsid w:val="00533466"/>
    <w:rsid w:val="0053433F"/>
    <w:rsid w:val="0053500A"/>
    <w:rsid w:val="00535C0A"/>
    <w:rsid w:val="00536544"/>
    <w:rsid w:val="00540582"/>
    <w:rsid w:val="00541B57"/>
    <w:rsid w:val="00545C4E"/>
    <w:rsid w:val="00545D7F"/>
    <w:rsid w:val="00546DD5"/>
    <w:rsid w:val="00547950"/>
    <w:rsid w:val="00554C82"/>
    <w:rsid w:val="00556E48"/>
    <w:rsid w:val="00560215"/>
    <w:rsid w:val="00564F79"/>
    <w:rsid w:val="0056545E"/>
    <w:rsid w:val="00565F40"/>
    <w:rsid w:val="00571C20"/>
    <w:rsid w:val="0057679C"/>
    <w:rsid w:val="00576AD1"/>
    <w:rsid w:val="00581F4E"/>
    <w:rsid w:val="005828CB"/>
    <w:rsid w:val="00582E6C"/>
    <w:rsid w:val="005832B3"/>
    <w:rsid w:val="005855D6"/>
    <w:rsid w:val="005904FF"/>
    <w:rsid w:val="00590AF7"/>
    <w:rsid w:val="005924A0"/>
    <w:rsid w:val="0059338D"/>
    <w:rsid w:val="005A02E0"/>
    <w:rsid w:val="005A1EBF"/>
    <w:rsid w:val="005A2543"/>
    <w:rsid w:val="005A4852"/>
    <w:rsid w:val="005A4EA7"/>
    <w:rsid w:val="005A6EF5"/>
    <w:rsid w:val="005B0E1D"/>
    <w:rsid w:val="005B2539"/>
    <w:rsid w:val="005B4782"/>
    <w:rsid w:val="005B4AD6"/>
    <w:rsid w:val="005B5FD6"/>
    <w:rsid w:val="005B774B"/>
    <w:rsid w:val="005B7D5A"/>
    <w:rsid w:val="005B7E1C"/>
    <w:rsid w:val="005C0C99"/>
    <w:rsid w:val="005C1641"/>
    <w:rsid w:val="005C17E5"/>
    <w:rsid w:val="005C2034"/>
    <w:rsid w:val="005C3259"/>
    <w:rsid w:val="005C375A"/>
    <w:rsid w:val="005C37D3"/>
    <w:rsid w:val="005C7B09"/>
    <w:rsid w:val="005D2AA9"/>
    <w:rsid w:val="005D320A"/>
    <w:rsid w:val="005D3276"/>
    <w:rsid w:val="005D3CB0"/>
    <w:rsid w:val="005D402C"/>
    <w:rsid w:val="005D4392"/>
    <w:rsid w:val="005D57BB"/>
    <w:rsid w:val="005D62E7"/>
    <w:rsid w:val="005D7379"/>
    <w:rsid w:val="005D7C2E"/>
    <w:rsid w:val="005D7F23"/>
    <w:rsid w:val="005E0F58"/>
    <w:rsid w:val="005E1A40"/>
    <w:rsid w:val="005E29F7"/>
    <w:rsid w:val="005E4323"/>
    <w:rsid w:val="005F033F"/>
    <w:rsid w:val="005F1E65"/>
    <w:rsid w:val="005F2D1D"/>
    <w:rsid w:val="005F31EE"/>
    <w:rsid w:val="005F589B"/>
    <w:rsid w:val="005F5B34"/>
    <w:rsid w:val="005F5D9D"/>
    <w:rsid w:val="005F6108"/>
    <w:rsid w:val="005F6FE1"/>
    <w:rsid w:val="00600E47"/>
    <w:rsid w:val="00601309"/>
    <w:rsid w:val="00601F80"/>
    <w:rsid w:val="00602FE8"/>
    <w:rsid w:val="00604E86"/>
    <w:rsid w:val="006050B6"/>
    <w:rsid w:val="00605C69"/>
    <w:rsid w:val="006060D0"/>
    <w:rsid w:val="00606A60"/>
    <w:rsid w:val="00607E3B"/>
    <w:rsid w:val="006112D5"/>
    <w:rsid w:val="00613BDA"/>
    <w:rsid w:val="00615476"/>
    <w:rsid w:val="00616A8F"/>
    <w:rsid w:val="00617764"/>
    <w:rsid w:val="00622C1C"/>
    <w:rsid w:val="006231AF"/>
    <w:rsid w:val="0062422A"/>
    <w:rsid w:val="00625078"/>
    <w:rsid w:val="006261CE"/>
    <w:rsid w:val="00627164"/>
    <w:rsid w:val="00627DDB"/>
    <w:rsid w:val="00627EB2"/>
    <w:rsid w:val="00631800"/>
    <w:rsid w:val="00631A2B"/>
    <w:rsid w:val="00631C07"/>
    <w:rsid w:val="006324DC"/>
    <w:rsid w:val="00634530"/>
    <w:rsid w:val="00640516"/>
    <w:rsid w:val="006417FC"/>
    <w:rsid w:val="00642437"/>
    <w:rsid w:val="006426DB"/>
    <w:rsid w:val="0065027F"/>
    <w:rsid w:val="00650C03"/>
    <w:rsid w:val="006519B3"/>
    <w:rsid w:val="006530BE"/>
    <w:rsid w:val="006537ED"/>
    <w:rsid w:val="00654227"/>
    <w:rsid w:val="00656603"/>
    <w:rsid w:val="00660A95"/>
    <w:rsid w:val="0066141C"/>
    <w:rsid w:val="00662B70"/>
    <w:rsid w:val="00663A78"/>
    <w:rsid w:val="00664188"/>
    <w:rsid w:val="006645F2"/>
    <w:rsid w:val="00664B58"/>
    <w:rsid w:val="006672F7"/>
    <w:rsid w:val="006673D3"/>
    <w:rsid w:val="00671CFF"/>
    <w:rsid w:val="00671F11"/>
    <w:rsid w:val="00673339"/>
    <w:rsid w:val="0067347C"/>
    <w:rsid w:val="00673960"/>
    <w:rsid w:val="00673B62"/>
    <w:rsid w:val="00675224"/>
    <w:rsid w:val="00676910"/>
    <w:rsid w:val="00676A15"/>
    <w:rsid w:val="00677FDF"/>
    <w:rsid w:val="0068163F"/>
    <w:rsid w:val="00682005"/>
    <w:rsid w:val="0068294F"/>
    <w:rsid w:val="006832A9"/>
    <w:rsid w:val="00683E9F"/>
    <w:rsid w:val="006843AB"/>
    <w:rsid w:val="00685D5C"/>
    <w:rsid w:val="00686C4F"/>
    <w:rsid w:val="006908BA"/>
    <w:rsid w:val="00691444"/>
    <w:rsid w:val="00691D8B"/>
    <w:rsid w:val="0069203C"/>
    <w:rsid w:val="006929E0"/>
    <w:rsid w:val="006933A5"/>
    <w:rsid w:val="00693831"/>
    <w:rsid w:val="00694893"/>
    <w:rsid w:val="006954FE"/>
    <w:rsid w:val="006961AC"/>
    <w:rsid w:val="006962D8"/>
    <w:rsid w:val="00696FAB"/>
    <w:rsid w:val="006A1067"/>
    <w:rsid w:val="006A4253"/>
    <w:rsid w:val="006A5244"/>
    <w:rsid w:val="006A57F3"/>
    <w:rsid w:val="006A5AE8"/>
    <w:rsid w:val="006A60EB"/>
    <w:rsid w:val="006A73FC"/>
    <w:rsid w:val="006B1001"/>
    <w:rsid w:val="006B23E7"/>
    <w:rsid w:val="006B54C3"/>
    <w:rsid w:val="006B6A3F"/>
    <w:rsid w:val="006C085E"/>
    <w:rsid w:val="006C1588"/>
    <w:rsid w:val="006C2FFA"/>
    <w:rsid w:val="006C514C"/>
    <w:rsid w:val="006C7F7F"/>
    <w:rsid w:val="006D17B5"/>
    <w:rsid w:val="006D1843"/>
    <w:rsid w:val="006D35D7"/>
    <w:rsid w:val="006D4592"/>
    <w:rsid w:val="006D45B0"/>
    <w:rsid w:val="006D5BF5"/>
    <w:rsid w:val="006E2B6D"/>
    <w:rsid w:val="006E3355"/>
    <w:rsid w:val="006E4A39"/>
    <w:rsid w:val="006E544C"/>
    <w:rsid w:val="006F1BA1"/>
    <w:rsid w:val="006F30A2"/>
    <w:rsid w:val="006F49A7"/>
    <w:rsid w:val="006F4DE4"/>
    <w:rsid w:val="00701CCB"/>
    <w:rsid w:val="007020F4"/>
    <w:rsid w:val="0070232C"/>
    <w:rsid w:val="00702FCD"/>
    <w:rsid w:val="00704601"/>
    <w:rsid w:val="007064A2"/>
    <w:rsid w:val="00710551"/>
    <w:rsid w:val="00710A22"/>
    <w:rsid w:val="00710E18"/>
    <w:rsid w:val="00711077"/>
    <w:rsid w:val="007114A0"/>
    <w:rsid w:val="007116AB"/>
    <w:rsid w:val="00711731"/>
    <w:rsid w:val="00711897"/>
    <w:rsid w:val="0071434C"/>
    <w:rsid w:val="007153D2"/>
    <w:rsid w:val="00715D4F"/>
    <w:rsid w:val="00722214"/>
    <w:rsid w:val="00724D1B"/>
    <w:rsid w:val="00724FEA"/>
    <w:rsid w:val="00726D5D"/>
    <w:rsid w:val="007276E2"/>
    <w:rsid w:val="00733369"/>
    <w:rsid w:val="00733F1D"/>
    <w:rsid w:val="007343FC"/>
    <w:rsid w:val="00736421"/>
    <w:rsid w:val="00737626"/>
    <w:rsid w:val="007405B4"/>
    <w:rsid w:val="00740A6D"/>
    <w:rsid w:val="00741CFA"/>
    <w:rsid w:val="007435ED"/>
    <w:rsid w:val="00745425"/>
    <w:rsid w:val="00746E42"/>
    <w:rsid w:val="00750DB0"/>
    <w:rsid w:val="00751688"/>
    <w:rsid w:val="00751B23"/>
    <w:rsid w:val="00751DE9"/>
    <w:rsid w:val="00753298"/>
    <w:rsid w:val="00755961"/>
    <w:rsid w:val="007571AE"/>
    <w:rsid w:val="00757598"/>
    <w:rsid w:val="007631AE"/>
    <w:rsid w:val="00763B5E"/>
    <w:rsid w:val="007642C0"/>
    <w:rsid w:val="007649A2"/>
    <w:rsid w:val="00764B5D"/>
    <w:rsid w:val="007672B5"/>
    <w:rsid w:val="00767C66"/>
    <w:rsid w:val="00767F74"/>
    <w:rsid w:val="00767F9C"/>
    <w:rsid w:val="00771A78"/>
    <w:rsid w:val="00772435"/>
    <w:rsid w:val="007728A1"/>
    <w:rsid w:val="00773A11"/>
    <w:rsid w:val="00773E55"/>
    <w:rsid w:val="007757B5"/>
    <w:rsid w:val="00777959"/>
    <w:rsid w:val="00780820"/>
    <w:rsid w:val="00782F52"/>
    <w:rsid w:val="00783978"/>
    <w:rsid w:val="0078728F"/>
    <w:rsid w:val="007900B9"/>
    <w:rsid w:val="00792408"/>
    <w:rsid w:val="00793AE7"/>
    <w:rsid w:val="00794374"/>
    <w:rsid w:val="007953E8"/>
    <w:rsid w:val="007A1D80"/>
    <w:rsid w:val="007A2167"/>
    <w:rsid w:val="007A21F1"/>
    <w:rsid w:val="007A5270"/>
    <w:rsid w:val="007B03CB"/>
    <w:rsid w:val="007B1A10"/>
    <w:rsid w:val="007B476F"/>
    <w:rsid w:val="007B4933"/>
    <w:rsid w:val="007B4B9C"/>
    <w:rsid w:val="007B69FF"/>
    <w:rsid w:val="007B716F"/>
    <w:rsid w:val="007C012C"/>
    <w:rsid w:val="007C02DA"/>
    <w:rsid w:val="007C030D"/>
    <w:rsid w:val="007C18A4"/>
    <w:rsid w:val="007C19AC"/>
    <w:rsid w:val="007C1DF8"/>
    <w:rsid w:val="007C367B"/>
    <w:rsid w:val="007C3F69"/>
    <w:rsid w:val="007C4D4E"/>
    <w:rsid w:val="007C5501"/>
    <w:rsid w:val="007C6BE1"/>
    <w:rsid w:val="007C7F34"/>
    <w:rsid w:val="007D052D"/>
    <w:rsid w:val="007D29D1"/>
    <w:rsid w:val="007D7EB8"/>
    <w:rsid w:val="007E2122"/>
    <w:rsid w:val="007E2A4D"/>
    <w:rsid w:val="007E4EA6"/>
    <w:rsid w:val="007E5314"/>
    <w:rsid w:val="007E5C12"/>
    <w:rsid w:val="007E7996"/>
    <w:rsid w:val="007F0558"/>
    <w:rsid w:val="007F0742"/>
    <w:rsid w:val="007F19DA"/>
    <w:rsid w:val="007F6DDE"/>
    <w:rsid w:val="0080240D"/>
    <w:rsid w:val="0080299A"/>
    <w:rsid w:val="008032C1"/>
    <w:rsid w:val="00803E61"/>
    <w:rsid w:val="008043F2"/>
    <w:rsid w:val="00804B6A"/>
    <w:rsid w:val="008056A9"/>
    <w:rsid w:val="008063E9"/>
    <w:rsid w:val="008119DD"/>
    <w:rsid w:val="00814245"/>
    <w:rsid w:val="0081434A"/>
    <w:rsid w:val="00815166"/>
    <w:rsid w:val="0081601E"/>
    <w:rsid w:val="00817718"/>
    <w:rsid w:val="00817E72"/>
    <w:rsid w:val="00820917"/>
    <w:rsid w:val="00821061"/>
    <w:rsid w:val="0082185F"/>
    <w:rsid w:val="00823C1F"/>
    <w:rsid w:val="00825F81"/>
    <w:rsid w:val="0082782C"/>
    <w:rsid w:val="008301FB"/>
    <w:rsid w:val="00833F9B"/>
    <w:rsid w:val="00833FCE"/>
    <w:rsid w:val="00836711"/>
    <w:rsid w:val="00840FC0"/>
    <w:rsid w:val="008508C8"/>
    <w:rsid w:val="008517DD"/>
    <w:rsid w:val="00853E97"/>
    <w:rsid w:val="00855937"/>
    <w:rsid w:val="00855952"/>
    <w:rsid w:val="00856731"/>
    <w:rsid w:val="00857835"/>
    <w:rsid w:val="00861A4B"/>
    <w:rsid w:val="00863C73"/>
    <w:rsid w:val="00863FBC"/>
    <w:rsid w:val="008647DF"/>
    <w:rsid w:val="00864853"/>
    <w:rsid w:val="00865A13"/>
    <w:rsid w:val="00866127"/>
    <w:rsid w:val="008665E8"/>
    <w:rsid w:val="00866C05"/>
    <w:rsid w:val="00866DDF"/>
    <w:rsid w:val="0086776D"/>
    <w:rsid w:val="008706FA"/>
    <w:rsid w:val="00874C4B"/>
    <w:rsid w:val="008756A3"/>
    <w:rsid w:val="008759E1"/>
    <w:rsid w:val="00875BDD"/>
    <w:rsid w:val="008801D7"/>
    <w:rsid w:val="008827D5"/>
    <w:rsid w:val="008831E1"/>
    <w:rsid w:val="00883C81"/>
    <w:rsid w:val="00884846"/>
    <w:rsid w:val="008919F5"/>
    <w:rsid w:val="008920F9"/>
    <w:rsid w:val="00893D28"/>
    <w:rsid w:val="00894653"/>
    <w:rsid w:val="00894A0D"/>
    <w:rsid w:val="00895EC7"/>
    <w:rsid w:val="008961A0"/>
    <w:rsid w:val="008A100B"/>
    <w:rsid w:val="008A2F38"/>
    <w:rsid w:val="008A3790"/>
    <w:rsid w:val="008A500E"/>
    <w:rsid w:val="008A6E92"/>
    <w:rsid w:val="008A70D4"/>
    <w:rsid w:val="008B0CC8"/>
    <w:rsid w:val="008B0E96"/>
    <w:rsid w:val="008B3B20"/>
    <w:rsid w:val="008B591D"/>
    <w:rsid w:val="008B7869"/>
    <w:rsid w:val="008B7944"/>
    <w:rsid w:val="008B7E30"/>
    <w:rsid w:val="008C011B"/>
    <w:rsid w:val="008C28B0"/>
    <w:rsid w:val="008C445B"/>
    <w:rsid w:val="008C4DBD"/>
    <w:rsid w:val="008C50FA"/>
    <w:rsid w:val="008C521C"/>
    <w:rsid w:val="008C61E6"/>
    <w:rsid w:val="008C64CA"/>
    <w:rsid w:val="008C7F1D"/>
    <w:rsid w:val="008D34AC"/>
    <w:rsid w:val="008D3B5C"/>
    <w:rsid w:val="008D5EE6"/>
    <w:rsid w:val="008D60D6"/>
    <w:rsid w:val="008D71F1"/>
    <w:rsid w:val="008D7FCE"/>
    <w:rsid w:val="008E04DF"/>
    <w:rsid w:val="008E2214"/>
    <w:rsid w:val="008E375E"/>
    <w:rsid w:val="008E4BC5"/>
    <w:rsid w:val="008E560C"/>
    <w:rsid w:val="008E67D3"/>
    <w:rsid w:val="008F09F0"/>
    <w:rsid w:val="008F0A86"/>
    <w:rsid w:val="008F13CF"/>
    <w:rsid w:val="008F37F2"/>
    <w:rsid w:val="008F7FD7"/>
    <w:rsid w:val="00900C0A"/>
    <w:rsid w:val="00904E89"/>
    <w:rsid w:val="00910017"/>
    <w:rsid w:val="00910F51"/>
    <w:rsid w:val="00911703"/>
    <w:rsid w:val="00912A80"/>
    <w:rsid w:val="00915035"/>
    <w:rsid w:val="00917A4B"/>
    <w:rsid w:val="0092100C"/>
    <w:rsid w:val="00921465"/>
    <w:rsid w:val="00921C6F"/>
    <w:rsid w:val="00922804"/>
    <w:rsid w:val="0092440A"/>
    <w:rsid w:val="009318FB"/>
    <w:rsid w:val="00932DE2"/>
    <w:rsid w:val="00936FA6"/>
    <w:rsid w:val="009376DB"/>
    <w:rsid w:val="009418F1"/>
    <w:rsid w:val="009425F6"/>
    <w:rsid w:val="009439B3"/>
    <w:rsid w:val="009456E9"/>
    <w:rsid w:val="00945C77"/>
    <w:rsid w:val="00946C4E"/>
    <w:rsid w:val="00950633"/>
    <w:rsid w:val="009514FD"/>
    <w:rsid w:val="009519A9"/>
    <w:rsid w:val="00951CF1"/>
    <w:rsid w:val="009527A2"/>
    <w:rsid w:val="00953B43"/>
    <w:rsid w:val="00954F6E"/>
    <w:rsid w:val="00956E3D"/>
    <w:rsid w:val="00960850"/>
    <w:rsid w:val="00960FD6"/>
    <w:rsid w:val="00961FE1"/>
    <w:rsid w:val="009630FC"/>
    <w:rsid w:val="00964188"/>
    <w:rsid w:val="00964F0D"/>
    <w:rsid w:val="009659F1"/>
    <w:rsid w:val="009701F7"/>
    <w:rsid w:val="00970998"/>
    <w:rsid w:val="00982512"/>
    <w:rsid w:val="00983D17"/>
    <w:rsid w:val="00991C22"/>
    <w:rsid w:val="00994CD3"/>
    <w:rsid w:val="00996B70"/>
    <w:rsid w:val="009A1E63"/>
    <w:rsid w:val="009A3773"/>
    <w:rsid w:val="009A3892"/>
    <w:rsid w:val="009A38DC"/>
    <w:rsid w:val="009A4008"/>
    <w:rsid w:val="009A620E"/>
    <w:rsid w:val="009A70C1"/>
    <w:rsid w:val="009A7FA2"/>
    <w:rsid w:val="009B0788"/>
    <w:rsid w:val="009B1108"/>
    <w:rsid w:val="009B13E1"/>
    <w:rsid w:val="009B1407"/>
    <w:rsid w:val="009B151C"/>
    <w:rsid w:val="009B19C5"/>
    <w:rsid w:val="009B1D16"/>
    <w:rsid w:val="009B225F"/>
    <w:rsid w:val="009B4820"/>
    <w:rsid w:val="009B501C"/>
    <w:rsid w:val="009B587E"/>
    <w:rsid w:val="009B7980"/>
    <w:rsid w:val="009C03A5"/>
    <w:rsid w:val="009C13EC"/>
    <w:rsid w:val="009C3922"/>
    <w:rsid w:val="009C700A"/>
    <w:rsid w:val="009C740F"/>
    <w:rsid w:val="009D0046"/>
    <w:rsid w:val="009D163F"/>
    <w:rsid w:val="009D3D7B"/>
    <w:rsid w:val="009D535D"/>
    <w:rsid w:val="009D78EF"/>
    <w:rsid w:val="009E1228"/>
    <w:rsid w:val="009E164E"/>
    <w:rsid w:val="009E198A"/>
    <w:rsid w:val="009E4C8A"/>
    <w:rsid w:val="009E6847"/>
    <w:rsid w:val="009F2537"/>
    <w:rsid w:val="009F3673"/>
    <w:rsid w:val="009F3EC7"/>
    <w:rsid w:val="009F58A4"/>
    <w:rsid w:val="009F6014"/>
    <w:rsid w:val="009F6557"/>
    <w:rsid w:val="00A016CB"/>
    <w:rsid w:val="00A12394"/>
    <w:rsid w:val="00A137E1"/>
    <w:rsid w:val="00A161E3"/>
    <w:rsid w:val="00A16559"/>
    <w:rsid w:val="00A17460"/>
    <w:rsid w:val="00A206F6"/>
    <w:rsid w:val="00A20F6D"/>
    <w:rsid w:val="00A211E4"/>
    <w:rsid w:val="00A22BA6"/>
    <w:rsid w:val="00A243AF"/>
    <w:rsid w:val="00A246CA"/>
    <w:rsid w:val="00A24ABA"/>
    <w:rsid w:val="00A2632A"/>
    <w:rsid w:val="00A2740D"/>
    <w:rsid w:val="00A276E4"/>
    <w:rsid w:val="00A27D25"/>
    <w:rsid w:val="00A27E8A"/>
    <w:rsid w:val="00A311A2"/>
    <w:rsid w:val="00A3229E"/>
    <w:rsid w:val="00A3376F"/>
    <w:rsid w:val="00A356C6"/>
    <w:rsid w:val="00A3609E"/>
    <w:rsid w:val="00A361C0"/>
    <w:rsid w:val="00A3672F"/>
    <w:rsid w:val="00A371D2"/>
    <w:rsid w:val="00A40513"/>
    <w:rsid w:val="00A435CA"/>
    <w:rsid w:val="00A435E5"/>
    <w:rsid w:val="00A43C16"/>
    <w:rsid w:val="00A46417"/>
    <w:rsid w:val="00A51525"/>
    <w:rsid w:val="00A52D7F"/>
    <w:rsid w:val="00A53F79"/>
    <w:rsid w:val="00A575DE"/>
    <w:rsid w:val="00A6279E"/>
    <w:rsid w:val="00A63A99"/>
    <w:rsid w:val="00A65882"/>
    <w:rsid w:val="00A65E0A"/>
    <w:rsid w:val="00A666DE"/>
    <w:rsid w:val="00A67905"/>
    <w:rsid w:val="00A71F01"/>
    <w:rsid w:val="00A72202"/>
    <w:rsid w:val="00A73907"/>
    <w:rsid w:val="00A74739"/>
    <w:rsid w:val="00A77C4E"/>
    <w:rsid w:val="00A807C4"/>
    <w:rsid w:val="00A8237C"/>
    <w:rsid w:val="00A857F6"/>
    <w:rsid w:val="00A85E56"/>
    <w:rsid w:val="00A86074"/>
    <w:rsid w:val="00A86CE3"/>
    <w:rsid w:val="00A8792E"/>
    <w:rsid w:val="00A92AAC"/>
    <w:rsid w:val="00A954D6"/>
    <w:rsid w:val="00AA1307"/>
    <w:rsid w:val="00AA2B80"/>
    <w:rsid w:val="00AA41DF"/>
    <w:rsid w:val="00AA512E"/>
    <w:rsid w:val="00AA5AE1"/>
    <w:rsid w:val="00AA5D08"/>
    <w:rsid w:val="00AA62F0"/>
    <w:rsid w:val="00AA693E"/>
    <w:rsid w:val="00AA6E90"/>
    <w:rsid w:val="00AB0941"/>
    <w:rsid w:val="00AB12D7"/>
    <w:rsid w:val="00AB1B07"/>
    <w:rsid w:val="00AB1C39"/>
    <w:rsid w:val="00AB32D0"/>
    <w:rsid w:val="00AB52C1"/>
    <w:rsid w:val="00AB5A87"/>
    <w:rsid w:val="00AB66F1"/>
    <w:rsid w:val="00AB6850"/>
    <w:rsid w:val="00AB79B7"/>
    <w:rsid w:val="00AC2462"/>
    <w:rsid w:val="00AC3650"/>
    <w:rsid w:val="00AC39F2"/>
    <w:rsid w:val="00AC425F"/>
    <w:rsid w:val="00AC43A5"/>
    <w:rsid w:val="00AC5F85"/>
    <w:rsid w:val="00AC61C0"/>
    <w:rsid w:val="00AC6ED5"/>
    <w:rsid w:val="00AC72A0"/>
    <w:rsid w:val="00AC73C2"/>
    <w:rsid w:val="00AC76DF"/>
    <w:rsid w:val="00AD07C0"/>
    <w:rsid w:val="00AD2655"/>
    <w:rsid w:val="00AD3005"/>
    <w:rsid w:val="00AD6E43"/>
    <w:rsid w:val="00AE25B2"/>
    <w:rsid w:val="00AE572A"/>
    <w:rsid w:val="00AE7A8F"/>
    <w:rsid w:val="00AF4AEB"/>
    <w:rsid w:val="00B00C9C"/>
    <w:rsid w:val="00B0240F"/>
    <w:rsid w:val="00B031EF"/>
    <w:rsid w:val="00B0439E"/>
    <w:rsid w:val="00B05B81"/>
    <w:rsid w:val="00B1122B"/>
    <w:rsid w:val="00B113D7"/>
    <w:rsid w:val="00B11A0E"/>
    <w:rsid w:val="00B1224F"/>
    <w:rsid w:val="00B15C2C"/>
    <w:rsid w:val="00B170FA"/>
    <w:rsid w:val="00B22571"/>
    <w:rsid w:val="00B229AC"/>
    <w:rsid w:val="00B231F8"/>
    <w:rsid w:val="00B23DE8"/>
    <w:rsid w:val="00B24071"/>
    <w:rsid w:val="00B24160"/>
    <w:rsid w:val="00B31641"/>
    <w:rsid w:val="00B31C2D"/>
    <w:rsid w:val="00B33E04"/>
    <w:rsid w:val="00B342B7"/>
    <w:rsid w:val="00B35849"/>
    <w:rsid w:val="00B3699D"/>
    <w:rsid w:val="00B42047"/>
    <w:rsid w:val="00B4274D"/>
    <w:rsid w:val="00B44432"/>
    <w:rsid w:val="00B44E15"/>
    <w:rsid w:val="00B47FFB"/>
    <w:rsid w:val="00B50436"/>
    <w:rsid w:val="00B51B50"/>
    <w:rsid w:val="00B52114"/>
    <w:rsid w:val="00B529E5"/>
    <w:rsid w:val="00B551C3"/>
    <w:rsid w:val="00B5608D"/>
    <w:rsid w:val="00B56132"/>
    <w:rsid w:val="00B562DE"/>
    <w:rsid w:val="00B5684E"/>
    <w:rsid w:val="00B579BA"/>
    <w:rsid w:val="00B60852"/>
    <w:rsid w:val="00B62903"/>
    <w:rsid w:val="00B6351A"/>
    <w:rsid w:val="00B636B5"/>
    <w:rsid w:val="00B63E0C"/>
    <w:rsid w:val="00B63E24"/>
    <w:rsid w:val="00B645BE"/>
    <w:rsid w:val="00B67773"/>
    <w:rsid w:val="00B70015"/>
    <w:rsid w:val="00B7013C"/>
    <w:rsid w:val="00B7563C"/>
    <w:rsid w:val="00B80BAF"/>
    <w:rsid w:val="00B8289A"/>
    <w:rsid w:val="00B84125"/>
    <w:rsid w:val="00B85C82"/>
    <w:rsid w:val="00B86A25"/>
    <w:rsid w:val="00B9174A"/>
    <w:rsid w:val="00B91B04"/>
    <w:rsid w:val="00B93499"/>
    <w:rsid w:val="00B93644"/>
    <w:rsid w:val="00B94B8D"/>
    <w:rsid w:val="00B94C24"/>
    <w:rsid w:val="00B95C0C"/>
    <w:rsid w:val="00B9739B"/>
    <w:rsid w:val="00B97FC2"/>
    <w:rsid w:val="00BA1076"/>
    <w:rsid w:val="00BA68AD"/>
    <w:rsid w:val="00BA6FD1"/>
    <w:rsid w:val="00BA7022"/>
    <w:rsid w:val="00BA7E28"/>
    <w:rsid w:val="00BB049E"/>
    <w:rsid w:val="00BB1103"/>
    <w:rsid w:val="00BB3386"/>
    <w:rsid w:val="00BB3553"/>
    <w:rsid w:val="00BB52FF"/>
    <w:rsid w:val="00BB5DB2"/>
    <w:rsid w:val="00BC03B8"/>
    <w:rsid w:val="00BC0BF6"/>
    <w:rsid w:val="00BC110D"/>
    <w:rsid w:val="00BC4C1C"/>
    <w:rsid w:val="00BC4E85"/>
    <w:rsid w:val="00BC79B7"/>
    <w:rsid w:val="00BC7EC7"/>
    <w:rsid w:val="00BD1124"/>
    <w:rsid w:val="00BD256D"/>
    <w:rsid w:val="00BD48C8"/>
    <w:rsid w:val="00BD4A52"/>
    <w:rsid w:val="00BD4C74"/>
    <w:rsid w:val="00BD54A3"/>
    <w:rsid w:val="00BD6C8D"/>
    <w:rsid w:val="00BE0430"/>
    <w:rsid w:val="00BE044A"/>
    <w:rsid w:val="00BE1942"/>
    <w:rsid w:val="00BE62C1"/>
    <w:rsid w:val="00BE6D73"/>
    <w:rsid w:val="00BE72E1"/>
    <w:rsid w:val="00BF05F0"/>
    <w:rsid w:val="00BF0ADF"/>
    <w:rsid w:val="00BF20FE"/>
    <w:rsid w:val="00BF2123"/>
    <w:rsid w:val="00BF2FF9"/>
    <w:rsid w:val="00BF4A1A"/>
    <w:rsid w:val="00BF4E12"/>
    <w:rsid w:val="00BF528F"/>
    <w:rsid w:val="00BF6277"/>
    <w:rsid w:val="00BF71B1"/>
    <w:rsid w:val="00BF784D"/>
    <w:rsid w:val="00C00752"/>
    <w:rsid w:val="00C02928"/>
    <w:rsid w:val="00C035D2"/>
    <w:rsid w:val="00C048A3"/>
    <w:rsid w:val="00C06060"/>
    <w:rsid w:val="00C11583"/>
    <w:rsid w:val="00C115F6"/>
    <w:rsid w:val="00C1167F"/>
    <w:rsid w:val="00C13B31"/>
    <w:rsid w:val="00C144C7"/>
    <w:rsid w:val="00C15924"/>
    <w:rsid w:val="00C16304"/>
    <w:rsid w:val="00C1720E"/>
    <w:rsid w:val="00C17DC5"/>
    <w:rsid w:val="00C23AA4"/>
    <w:rsid w:val="00C2448A"/>
    <w:rsid w:val="00C268FA"/>
    <w:rsid w:val="00C26CD8"/>
    <w:rsid w:val="00C31410"/>
    <w:rsid w:val="00C320BE"/>
    <w:rsid w:val="00C328A4"/>
    <w:rsid w:val="00C32AFB"/>
    <w:rsid w:val="00C33568"/>
    <w:rsid w:val="00C336A4"/>
    <w:rsid w:val="00C34304"/>
    <w:rsid w:val="00C3454B"/>
    <w:rsid w:val="00C370D5"/>
    <w:rsid w:val="00C41955"/>
    <w:rsid w:val="00C42B93"/>
    <w:rsid w:val="00C42D2E"/>
    <w:rsid w:val="00C43A75"/>
    <w:rsid w:val="00C440E0"/>
    <w:rsid w:val="00C454DF"/>
    <w:rsid w:val="00C469EF"/>
    <w:rsid w:val="00C50100"/>
    <w:rsid w:val="00C537F5"/>
    <w:rsid w:val="00C54E5E"/>
    <w:rsid w:val="00C60EC7"/>
    <w:rsid w:val="00C614D8"/>
    <w:rsid w:val="00C61666"/>
    <w:rsid w:val="00C6428B"/>
    <w:rsid w:val="00C656E9"/>
    <w:rsid w:val="00C676BF"/>
    <w:rsid w:val="00C736CD"/>
    <w:rsid w:val="00C73F31"/>
    <w:rsid w:val="00C74587"/>
    <w:rsid w:val="00C75065"/>
    <w:rsid w:val="00C8093B"/>
    <w:rsid w:val="00C820B3"/>
    <w:rsid w:val="00C82AE6"/>
    <w:rsid w:val="00C87448"/>
    <w:rsid w:val="00C93E30"/>
    <w:rsid w:val="00C958FD"/>
    <w:rsid w:val="00C965A9"/>
    <w:rsid w:val="00CA05F3"/>
    <w:rsid w:val="00CA09C1"/>
    <w:rsid w:val="00CA1AFD"/>
    <w:rsid w:val="00CA1CF8"/>
    <w:rsid w:val="00CA32AC"/>
    <w:rsid w:val="00CA5D12"/>
    <w:rsid w:val="00CA61A8"/>
    <w:rsid w:val="00CB0320"/>
    <w:rsid w:val="00CB6AB0"/>
    <w:rsid w:val="00CC0D0A"/>
    <w:rsid w:val="00CC22CD"/>
    <w:rsid w:val="00CC2DBD"/>
    <w:rsid w:val="00CC3C80"/>
    <w:rsid w:val="00CC49C5"/>
    <w:rsid w:val="00CC5D0B"/>
    <w:rsid w:val="00CC620B"/>
    <w:rsid w:val="00CD3612"/>
    <w:rsid w:val="00CD3D78"/>
    <w:rsid w:val="00CD4841"/>
    <w:rsid w:val="00CD53E6"/>
    <w:rsid w:val="00CD545F"/>
    <w:rsid w:val="00CE17AB"/>
    <w:rsid w:val="00CE4145"/>
    <w:rsid w:val="00CE5215"/>
    <w:rsid w:val="00CF1902"/>
    <w:rsid w:val="00CF2025"/>
    <w:rsid w:val="00CF3ABA"/>
    <w:rsid w:val="00CF3E40"/>
    <w:rsid w:val="00CF42A4"/>
    <w:rsid w:val="00CF6755"/>
    <w:rsid w:val="00D01F86"/>
    <w:rsid w:val="00D0425D"/>
    <w:rsid w:val="00D0629F"/>
    <w:rsid w:val="00D072ED"/>
    <w:rsid w:val="00D10045"/>
    <w:rsid w:val="00D10CF3"/>
    <w:rsid w:val="00D1176F"/>
    <w:rsid w:val="00D13BB4"/>
    <w:rsid w:val="00D13F79"/>
    <w:rsid w:val="00D13FEF"/>
    <w:rsid w:val="00D216D1"/>
    <w:rsid w:val="00D226B0"/>
    <w:rsid w:val="00D25277"/>
    <w:rsid w:val="00D261D7"/>
    <w:rsid w:val="00D274D1"/>
    <w:rsid w:val="00D33CB1"/>
    <w:rsid w:val="00D34182"/>
    <w:rsid w:val="00D34762"/>
    <w:rsid w:val="00D34827"/>
    <w:rsid w:val="00D371B9"/>
    <w:rsid w:val="00D44530"/>
    <w:rsid w:val="00D45E95"/>
    <w:rsid w:val="00D46DC8"/>
    <w:rsid w:val="00D470D4"/>
    <w:rsid w:val="00D47534"/>
    <w:rsid w:val="00D500AC"/>
    <w:rsid w:val="00D51D6E"/>
    <w:rsid w:val="00D52A2F"/>
    <w:rsid w:val="00D5400D"/>
    <w:rsid w:val="00D558D1"/>
    <w:rsid w:val="00D55961"/>
    <w:rsid w:val="00D5615A"/>
    <w:rsid w:val="00D568FB"/>
    <w:rsid w:val="00D57F41"/>
    <w:rsid w:val="00D60D9D"/>
    <w:rsid w:val="00D610F7"/>
    <w:rsid w:val="00D613F7"/>
    <w:rsid w:val="00D61456"/>
    <w:rsid w:val="00D63DED"/>
    <w:rsid w:val="00D63EA1"/>
    <w:rsid w:val="00D64A1E"/>
    <w:rsid w:val="00D64EB4"/>
    <w:rsid w:val="00D674D3"/>
    <w:rsid w:val="00D715E5"/>
    <w:rsid w:val="00D71CC1"/>
    <w:rsid w:val="00D75132"/>
    <w:rsid w:val="00D76A68"/>
    <w:rsid w:val="00D82068"/>
    <w:rsid w:val="00D82B35"/>
    <w:rsid w:val="00D833AD"/>
    <w:rsid w:val="00D90A79"/>
    <w:rsid w:val="00D91131"/>
    <w:rsid w:val="00D91519"/>
    <w:rsid w:val="00D92650"/>
    <w:rsid w:val="00D9301F"/>
    <w:rsid w:val="00D94FED"/>
    <w:rsid w:val="00D95F4F"/>
    <w:rsid w:val="00D96A43"/>
    <w:rsid w:val="00D976B8"/>
    <w:rsid w:val="00DA1093"/>
    <w:rsid w:val="00DA5543"/>
    <w:rsid w:val="00DA6FC4"/>
    <w:rsid w:val="00DA6FCE"/>
    <w:rsid w:val="00DB07D6"/>
    <w:rsid w:val="00DB1C7A"/>
    <w:rsid w:val="00DB27A7"/>
    <w:rsid w:val="00DB3D8E"/>
    <w:rsid w:val="00DB49C1"/>
    <w:rsid w:val="00DB4B61"/>
    <w:rsid w:val="00DC089F"/>
    <w:rsid w:val="00DC0BC4"/>
    <w:rsid w:val="00DC13DF"/>
    <w:rsid w:val="00DC1A39"/>
    <w:rsid w:val="00DC2B6F"/>
    <w:rsid w:val="00DC35C6"/>
    <w:rsid w:val="00DC3FD0"/>
    <w:rsid w:val="00DC6D7C"/>
    <w:rsid w:val="00DD24CB"/>
    <w:rsid w:val="00DD2666"/>
    <w:rsid w:val="00DD41A9"/>
    <w:rsid w:val="00DD47D1"/>
    <w:rsid w:val="00DD587E"/>
    <w:rsid w:val="00DD5927"/>
    <w:rsid w:val="00DD5F5D"/>
    <w:rsid w:val="00DD62DA"/>
    <w:rsid w:val="00DD6F82"/>
    <w:rsid w:val="00DE2F38"/>
    <w:rsid w:val="00DE3D36"/>
    <w:rsid w:val="00DE442D"/>
    <w:rsid w:val="00DE4747"/>
    <w:rsid w:val="00DE5951"/>
    <w:rsid w:val="00DE5B25"/>
    <w:rsid w:val="00DE5FCC"/>
    <w:rsid w:val="00DE72FB"/>
    <w:rsid w:val="00DF049F"/>
    <w:rsid w:val="00DF09D1"/>
    <w:rsid w:val="00DF0B6E"/>
    <w:rsid w:val="00DF0EA4"/>
    <w:rsid w:val="00DF0EE6"/>
    <w:rsid w:val="00DF6948"/>
    <w:rsid w:val="00DF6C58"/>
    <w:rsid w:val="00E01787"/>
    <w:rsid w:val="00E05AF3"/>
    <w:rsid w:val="00E06920"/>
    <w:rsid w:val="00E10ABD"/>
    <w:rsid w:val="00E133F0"/>
    <w:rsid w:val="00E13827"/>
    <w:rsid w:val="00E15204"/>
    <w:rsid w:val="00E16658"/>
    <w:rsid w:val="00E17299"/>
    <w:rsid w:val="00E20226"/>
    <w:rsid w:val="00E20317"/>
    <w:rsid w:val="00E25D10"/>
    <w:rsid w:val="00E339CF"/>
    <w:rsid w:val="00E361C7"/>
    <w:rsid w:val="00E42EA5"/>
    <w:rsid w:val="00E43F89"/>
    <w:rsid w:val="00E452F7"/>
    <w:rsid w:val="00E5102C"/>
    <w:rsid w:val="00E53B4C"/>
    <w:rsid w:val="00E56ECA"/>
    <w:rsid w:val="00E57193"/>
    <w:rsid w:val="00E610B6"/>
    <w:rsid w:val="00E62F6C"/>
    <w:rsid w:val="00E630FD"/>
    <w:rsid w:val="00E63148"/>
    <w:rsid w:val="00E631CD"/>
    <w:rsid w:val="00E67C54"/>
    <w:rsid w:val="00E67C6E"/>
    <w:rsid w:val="00E7022F"/>
    <w:rsid w:val="00E71876"/>
    <w:rsid w:val="00E825FA"/>
    <w:rsid w:val="00E84771"/>
    <w:rsid w:val="00E8529C"/>
    <w:rsid w:val="00E87850"/>
    <w:rsid w:val="00E87DEC"/>
    <w:rsid w:val="00E91D8E"/>
    <w:rsid w:val="00E932C0"/>
    <w:rsid w:val="00E95D3A"/>
    <w:rsid w:val="00E965C0"/>
    <w:rsid w:val="00E96CBC"/>
    <w:rsid w:val="00E97471"/>
    <w:rsid w:val="00EA0BCC"/>
    <w:rsid w:val="00EA6B6F"/>
    <w:rsid w:val="00EA7B25"/>
    <w:rsid w:val="00EA7E3E"/>
    <w:rsid w:val="00EB0D52"/>
    <w:rsid w:val="00EB2BB6"/>
    <w:rsid w:val="00EB3463"/>
    <w:rsid w:val="00EB47B2"/>
    <w:rsid w:val="00EB49D3"/>
    <w:rsid w:val="00EB5F1E"/>
    <w:rsid w:val="00EB6C9C"/>
    <w:rsid w:val="00EC2410"/>
    <w:rsid w:val="00EC5966"/>
    <w:rsid w:val="00EC5DF0"/>
    <w:rsid w:val="00ED0A18"/>
    <w:rsid w:val="00ED30CD"/>
    <w:rsid w:val="00ED49D8"/>
    <w:rsid w:val="00ED595D"/>
    <w:rsid w:val="00ED6A79"/>
    <w:rsid w:val="00ED7E1D"/>
    <w:rsid w:val="00EE0104"/>
    <w:rsid w:val="00EE183E"/>
    <w:rsid w:val="00EE29A7"/>
    <w:rsid w:val="00EE30BF"/>
    <w:rsid w:val="00EE3604"/>
    <w:rsid w:val="00EE3779"/>
    <w:rsid w:val="00EF2898"/>
    <w:rsid w:val="00EF499D"/>
    <w:rsid w:val="00EF4A9D"/>
    <w:rsid w:val="00EF4B1D"/>
    <w:rsid w:val="00EF4CEA"/>
    <w:rsid w:val="00EF51FE"/>
    <w:rsid w:val="00F00F80"/>
    <w:rsid w:val="00F02BAF"/>
    <w:rsid w:val="00F044C7"/>
    <w:rsid w:val="00F04590"/>
    <w:rsid w:val="00F066B6"/>
    <w:rsid w:val="00F06812"/>
    <w:rsid w:val="00F06EF4"/>
    <w:rsid w:val="00F1126C"/>
    <w:rsid w:val="00F119CF"/>
    <w:rsid w:val="00F12533"/>
    <w:rsid w:val="00F12AB5"/>
    <w:rsid w:val="00F13167"/>
    <w:rsid w:val="00F148D6"/>
    <w:rsid w:val="00F1650D"/>
    <w:rsid w:val="00F23F82"/>
    <w:rsid w:val="00F24509"/>
    <w:rsid w:val="00F24B1D"/>
    <w:rsid w:val="00F24D75"/>
    <w:rsid w:val="00F31273"/>
    <w:rsid w:val="00F32816"/>
    <w:rsid w:val="00F3396F"/>
    <w:rsid w:val="00F33FB8"/>
    <w:rsid w:val="00F3602E"/>
    <w:rsid w:val="00F43039"/>
    <w:rsid w:val="00F44818"/>
    <w:rsid w:val="00F45F69"/>
    <w:rsid w:val="00F4626A"/>
    <w:rsid w:val="00F4661E"/>
    <w:rsid w:val="00F46865"/>
    <w:rsid w:val="00F50DBA"/>
    <w:rsid w:val="00F50E04"/>
    <w:rsid w:val="00F510ED"/>
    <w:rsid w:val="00F51D82"/>
    <w:rsid w:val="00F52504"/>
    <w:rsid w:val="00F60E62"/>
    <w:rsid w:val="00F627AE"/>
    <w:rsid w:val="00F65620"/>
    <w:rsid w:val="00F66541"/>
    <w:rsid w:val="00F66DA5"/>
    <w:rsid w:val="00F7314B"/>
    <w:rsid w:val="00F744E8"/>
    <w:rsid w:val="00F762F5"/>
    <w:rsid w:val="00F76880"/>
    <w:rsid w:val="00F80DB2"/>
    <w:rsid w:val="00F818D0"/>
    <w:rsid w:val="00F81BBF"/>
    <w:rsid w:val="00F824D2"/>
    <w:rsid w:val="00F85D40"/>
    <w:rsid w:val="00F87957"/>
    <w:rsid w:val="00F906F3"/>
    <w:rsid w:val="00F906FC"/>
    <w:rsid w:val="00F909C9"/>
    <w:rsid w:val="00F91CA8"/>
    <w:rsid w:val="00F9212B"/>
    <w:rsid w:val="00F953AB"/>
    <w:rsid w:val="00F960A1"/>
    <w:rsid w:val="00F9642C"/>
    <w:rsid w:val="00F9649F"/>
    <w:rsid w:val="00F970B9"/>
    <w:rsid w:val="00F97179"/>
    <w:rsid w:val="00F97B23"/>
    <w:rsid w:val="00FA0522"/>
    <w:rsid w:val="00FA0B29"/>
    <w:rsid w:val="00FA2CB2"/>
    <w:rsid w:val="00FA2E51"/>
    <w:rsid w:val="00FA403B"/>
    <w:rsid w:val="00FA4E33"/>
    <w:rsid w:val="00FA6BA4"/>
    <w:rsid w:val="00FA762D"/>
    <w:rsid w:val="00FB124A"/>
    <w:rsid w:val="00FB1733"/>
    <w:rsid w:val="00FB2D18"/>
    <w:rsid w:val="00FB2F41"/>
    <w:rsid w:val="00FB3CEF"/>
    <w:rsid w:val="00FB42A0"/>
    <w:rsid w:val="00FB73D8"/>
    <w:rsid w:val="00FC063A"/>
    <w:rsid w:val="00FC1595"/>
    <w:rsid w:val="00FC22F5"/>
    <w:rsid w:val="00FC36E1"/>
    <w:rsid w:val="00FC7F6F"/>
    <w:rsid w:val="00FC7F77"/>
    <w:rsid w:val="00FD1212"/>
    <w:rsid w:val="00FD144C"/>
    <w:rsid w:val="00FD2505"/>
    <w:rsid w:val="00FD446A"/>
    <w:rsid w:val="00FD490A"/>
    <w:rsid w:val="00FD68F7"/>
    <w:rsid w:val="00FD78DF"/>
    <w:rsid w:val="00FD7AB5"/>
    <w:rsid w:val="00FE0AF4"/>
    <w:rsid w:val="00FE15C8"/>
    <w:rsid w:val="00FE27D7"/>
    <w:rsid w:val="00FE2926"/>
    <w:rsid w:val="00FE2D09"/>
    <w:rsid w:val="00FE3EB7"/>
    <w:rsid w:val="00FE425B"/>
    <w:rsid w:val="00FE47CA"/>
    <w:rsid w:val="00FE5435"/>
    <w:rsid w:val="00FE5E17"/>
    <w:rsid w:val="00FE5EB7"/>
    <w:rsid w:val="00FF2558"/>
    <w:rsid w:val="00FF456C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,"/>
  <w14:docId w14:val="0C0F2465"/>
  <w15:chartTrackingRefBased/>
  <w15:docId w15:val="{8317FE1C-A94D-6641-85A4-69471DFA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3FBC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6426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571C20"/>
    <w:pPr>
      <w:keepNext/>
      <w:jc w:val="both"/>
      <w:outlineLvl w:val="3"/>
    </w:pPr>
    <w:rPr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qFormat/>
    <w:rsid w:val="006426D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6426DB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C365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C3650"/>
    <w:pPr>
      <w:tabs>
        <w:tab w:val="center" w:pos="4320"/>
        <w:tab w:val="right" w:pos="8640"/>
      </w:tabs>
    </w:pPr>
  </w:style>
  <w:style w:type="character" w:styleId="Hyperlink">
    <w:name w:val="Hyperlink"/>
    <w:rsid w:val="005D3CB0"/>
    <w:rPr>
      <w:color w:val="0000FF"/>
      <w:u w:val="single"/>
    </w:rPr>
  </w:style>
  <w:style w:type="character" w:customStyle="1" w:styleId="Heading4Char">
    <w:name w:val="Heading 4 Char"/>
    <w:link w:val="Heading4"/>
    <w:rsid w:val="00571C20"/>
    <w:rPr>
      <w:sz w:val="24"/>
      <w:lang w:val="en-GB" w:eastAsia="en-US" w:bidi="ar-SA"/>
    </w:rPr>
  </w:style>
  <w:style w:type="character" w:styleId="PageNumber">
    <w:name w:val="page number"/>
    <w:basedOn w:val="DefaultParagraphFont"/>
    <w:rsid w:val="00CA61A8"/>
  </w:style>
  <w:style w:type="character" w:customStyle="1" w:styleId="Heading1Char">
    <w:name w:val="Heading 1 Char"/>
    <w:link w:val="Heading1"/>
    <w:rsid w:val="006426DB"/>
    <w:rPr>
      <w:rFonts w:ascii="Cambria" w:eastAsia="Times New Roman" w:hAnsi="Cambria" w:cs="Times New Roman"/>
      <w:b/>
      <w:bCs/>
      <w:kern w:val="32"/>
      <w:sz w:val="32"/>
      <w:szCs w:val="32"/>
      <w:lang w:val="ro-RO" w:eastAsia="ro-RO"/>
    </w:rPr>
  </w:style>
  <w:style w:type="character" w:customStyle="1" w:styleId="Heading6Char">
    <w:name w:val="Heading 6 Char"/>
    <w:link w:val="Heading6"/>
    <w:semiHidden/>
    <w:rsid w:val="006426DB"/>
    <w:rPr>
      <w:rFonts w:ascii="Calibri" w:eastAsia="Times New Roman" w:hAnsi="Calibri" w:cs="Times New Roman"/>
      <w:b/>
      <w:bCs/>
      <w:sz w:val="22"/>
      <w:szCs w:val="22"/>
      <w:lang w:val="ro-RO" w:eastAsia="ro-RO"/>
    </w:rPr>
  </w:style>
  <w:style w:type="character" w:customStyle="1" w:styleId="Heading7Char">
    <w:name w:val="Heading 7 Char"/>
    <w:link w:val="Heading7"/>
    <w:semiHidden/>
    <w:rsid w:val="006426DB"/>
    <w:rPr>
      <w:rFonts w:ascii="Calibri" w:eastAsia="Times New Roman" w:hAnsi="Calibri" w:cs="Times New Roman"/>
      <w:sz w:val="24"/>
      <w:szCs w:val="24"/>
      <w:lang w:val="ro-RO" w:eastAsia="ro-RO"/>
    </w:rPr>
  </w:style>
  <w:style w:type="paragraph" w:styleId="BalloonText">
    <w:name w:val="Balloon Text"/>
    <w:basedOn w:val="Normal"/>
    <w:link w:val="BalloonTextChar"/>
    <w:rsid w:val="00C419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41955"/>
    <w:rPr>
      <w:rFonts w:ascii="Tahoma" w:hAnsi="Tahoma" w:cs="Tahoma"/>
      <w:sz w:val="16"/>
      <w:szCs w:val="16"/>
      <w:lang w:val="ro-RO" w:eastAsia="ro-RO"/>
    </w:rPr>
  </w:style>
  <w:style w:type="character" w:styleId="FollowedHyperlink">
    <w:name w:val="FollowedHyperlink"/>
    <w:rsid w:val="00921C6F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AB52C1"/>
    <w:rPr>
      <w:sz w:val="24"/>
      <w:szCs w:val="24"/>
      <w:lang w:val="ro-RO" w:eastAsia="ro-RO"/>
    </w:rPr>
  </w:style>
  <w:style w:type="character" w:customStyle="1" w:styleId="q4iawc">
    <w:name w:val="q4iawc"/>
    <w:rsid w:val="00C6428B"/>
  </w:style>
  <w:style w:type="character" w:styleId="UnresolvedMention">
    <w:name w:val="Unresolved Mention"/>
    <w:uiPriority w:val="99"/>
    <w:semiHidden/>
    <w:unhideWhenUsed/>
    <w:rsid w:val="009659F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C2448A"/>
    <w:rPr>
      <w:b/>
      <w:bCs/>
    </w:rPr>
  </w:style>
  <w:style w:type="paragraph" w:styleId="Revision">
    <w:name w:val="Revision"/>
    <w:hidden/>
    <w:uiPriority w:val="99"/>
    <w:semiHidden/>
    <w:rsid w:val="00B97FC2"/>
    <w:rPr>
      <w:sz w:val="24"/>
      <w:szCs w:val="24"/>
      <w:lang w:val="ro-RO" w:eastAsia="ro-R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15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link w:val="HTMLPreformatted"/>
    <w:uiPriority w:val="99"/>
    <w:rsid w:val="007153D2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715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c.europa.eu/eurostat/statistics-explained%2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c.europa.eu/eurostat/web/purchasing-power-parities/methodolog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statistics-explained/index.php?title=Glossary:Potential_candidat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roupresa@insse.ro" TargetMode="External"/><Relationship Id="rId10" Type="http://schemas.openxmlformats.org/officeDocument/2006/relationships/hyperlink" Target="https://ec.europa.eu/eurostat/statistics-explained/index.php?title=Glossary:Candidate_countrie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insse.ro/cms/ro/comunicate-de-pres&#259;-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F3140-B7F0-4A53-A673-C940F7A8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comunicat presa</vt:lpstr>
    </vt:vector>
  </TitlesOfParts>
  <Company>INS</Company>
  <LinksUpToDate>false</LinksUpToDate>
  <CharactersWithSpaces>10838</CharactersWithSpaces>
  <SharedDoc>false</SharedDoc>
  <HLinks>
    <vt:vector size="36" baseType="variant">
      <vt:variant>
        <vt:i4>1703989</vt:i4>
      </vt:variant>
      <vt:variant>
        <vt:i4>15</vt:i4>
      </vt:variant>
      <vt:variant>
        <vt:i4>0</vt:i4>
      </vt:variant>
      <vt:variant>
        <vt:i4>5</vt:i4>
      </vt:variant>
      <vt:variant>
        <vt:lpwstr>mailto:biroupresa@insse.ro</vt:lpwstr>
      </vt:variant>
      <vt:variant>
        <vt:lpwstr/>
      </vt:variant>
      <vt:variant>
        <vt:i4>18743354</vt:i4>
      </vt:variant>
      <vt:variant>
        <vt:i4>12</vt:i4>
      </vt:variant>
      <vt:variant>
        <vt:i4>0</vt:i4>
      </vt:variant>
      <vt:variant>
        <vt:i4>5</vt:i4>
      </vt:variant>
      <vt:variant>
        <vt:lpwstr>http://www.insse.ro/cms/ro/comunicate-de-presă-view</vt:lpwstr>
      </vt:variant>
      <vt:variant>
        <vt:lpwstr/>
      </vt:variant>
      <vt:variant>
        <vt:i4>7536761</vt:i4>
      </vt:variant>
      <vt:variant>
        <vt:i4>9</vt:i4>
      </vt:variant>
      <vt:variant>
        <vt:i4>0</vt:i4>
      </vt:variant>
      <vt:variant>
        <vt:i4>5</vt:i4>
      </vt:variant>
      <vt:variant>
        <vt:lpwstr>https://ec.europa.eu/eurostat/statistics-explained</vt:lpwstr>
      </vt:variant>
      <vt:variant>
        <vt:lpwstr/>
      </vt:variant>
      <vt:variant>
        <vt:i4>8126508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https://ec.europa.eu/eurostat/web/purchasing-power-parities/methodology</vt:lpwstr>
      </vt:variant>
      <vt:variant>
        <vt:lpwstr/>
      </vt:variant>
      <vt:variant>
        <vt:i4>7733268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https://ec.europa.eu/eurostat/statistics-explained/index.php?title=Glossary:Potential_candidates</vt:lpwstr>
      </vt:variant>
      <vt:variant>
        <vt:lpwstr/>
      </vt:variant>
      <vt:variant>
        <vt:i4>786544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https://ec.europa.eu/eurostat/statistics-explained/index.php?title=Glossary:Candidate_countries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comunicat presa</dc:title>
  <dc:subject/>
  <dc:creator>Bogdan Greabu</dc:creator>
  <cp:keywords/>
  <dc:description/>
  <cp:lastModifiedBy>Ionut Buha</cp:lastModifiedBy>
  <cp:revision>2</cp:revision>
  <cp:lastPrinted>2022-09-19T07:46:00Z</cp:lastPrinted>
  <dcterms:created xsi:type="dcterms:W3CDTF">2022-10-19T00:13:00Z</dcterms:created>
  <dcterms:modified xsi:type="dcterms:W3CDTF">2022-10-19T00:13:00Z</dcterms:modified>
</cp:coreProperties>
</file>